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hint="eastAsia" w:ascii="宋体" w:hAnsi="宋体" w:eastAsia="宋体"/>
          <w:sz w:val="28"/>
          <w:szCs w:val="28"/>
          <w:lang w:val="en-US" w:eastAsia="zh-CN"/>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61A4EAE9">
      <w:pPr>
        <w:widowControl/>
        <w:spacing w:line="450" w:lineRule="atLeast"/>
        <w:jc w:val="center"/>
        <w:rPr>
          <w:rFonts w:ascii="Arial" w:hAnsi="Arial" w:eastAsia="宋体" w:cs="Arial"/>
          <w:color w:val="333333"/>
          <w:kern w:val="0"/>
          <w:sz w:val="36"/>
          <w:szCs w:val="36"/>
        </w:rPr>
      </w:pPr>
      <w:r>
        <w:rPr>
          <w:rFonts w:hint="eastAsia" w:ascii="Arial" w:hAnsi="Arial" w:eastAsia="宋体" w:cs="Arial"/>
          <w:color w:val="333333"/>
          <w:kern w:val="0"/>
          <w:sz w:val="36"/>
          <w:szCs w:val="36"/>
        </w:rPr>
        <w:t>高州垃圾发电</w:t>
      </w:r>
      <w:r>
        <w:rPr>
          <w:rFonts w:ascii="Arial" w:hAnsi="Arial" w:eastAsia="宋体" w:cs="Arial"/>
          <w:color w:val="333333"/>
          <w:kern w:val="0"/>
          <w:sz w:val="36"/>
          <w:szCs w:val="36"/>
        </w:rPr>
        <w:t>项目</w:t>
      </w:r>
      <w:r>
        <w:rPr>
          <w:rFonts w:hint="eastAsia" w:ascii="Arial" w:hAnsi="Arial" w:eastAsia="宋体" w:cs="Arial"/>
          <w:color w:val="333333"/>
          <w:kern w:val="0"/>
          <w:sz w:val="36"/>
          <w:szCs w:val="36"/>
          <w:lang w:eastAsia="zh-CN"/>
        </w:rPr>
        <w:t>2026</w:t>
      </w:r>
      <w:r>
        <w:rPr>
          <w:rFonts w:hint="eastAsia" w:ascii="Arial" w:hAnsi="Arial" w:eastAsia="宋体" w:cs="Arial"/>
          <w:color w:val="333333"/>
          <w:kern w:val="0"/>
          <w:sz w:val="36"/>
          <w:szCs w:val="36"/>
          <w:lang w:val="en-US" w:eastAsia="zh-CN"/>
        </w:rPr>
        <w:t>-2027</w:t>
      </w:r>
      <w:r>
        <w:rPr>
          <w:rFonts w:hint="eastAsia" w:ascii="Arial" w:hAnsi="Arial" w:eastAsia="宋体" w:cs="Arial"/>
          <w:color w:val="333333"/>
          <w:kern w:val="0"/>
          <w:sz w:val="36"/>
          <w:szCs w:val="36"/>
          <w:lang w:eastAsia="zh-CN"/>
        </w:rPr>
        <w:t>年</w:t>
      </w:r>
      <w:r>
        <w:rPr>
          <w:rFonts w:hint="eastAsia" w:ascii="Arial" w:hAnsi="Arial" w:eastAsia="宋体" w:cs="Arial"/>
          <w:color w:val="333333"/>
          <w:kern w:val="0"/>
          <w:sz w:val="36"/>
          <w:szCs w:val="36"/>
        </w:rPr>
        <w:t>熟石灰</w:t>
      </w:r>
      <w:r>
        <w:rPr>
          <w:rFonts w:hint="eastAsia" w:ascii="Arial" w:hAnsi="Arial" w:eastAsia="宋体" w:cs="Arial"/>
          <w:color w:val="333333"/>
          <w:kern w:val="0"/>
          <w:sz w:val="36"/>
          <w:szCs w:val="36"/>
          <w:lang w:val="en-US" w:eastAsia="zh-CN"/>
        </w:rPr>
        <w:t>招标</w:t>
      </w:r>
      <w:r>
        <w:rPr>
          <w:rFonts w:hint="eastAsia" w:ascii="Arial" w:hAnsi="Arial" w:eastAsia="宋体" w:cs="Arial"/>
          <w:color w:val="333333"/>
          <w:kern w:val="0"/>
          <w:sz w:val="36"/>
          <w:szCs w:val="36"/>
        </w:rPr>
        <w:t>采购</w:t>
      </w:r>
    </w:p>
    <w:p w14:paraId="2A55C8D8">
      <w:pPr>
        <w:widowControl/>
        <w:adjustRightInd w:val="0"/>
        <w:snapToGrid w:val="0"/>
        <w:spacing w:line="360" w:lineRule="auto"/>
        <w:jc w:val="center"/>
        <w:rPr>
          <w:rFonts w:ascii="宋体" w:hAnsi="宋体" w:eastAsia="宋体"/>
          <w:sz w:val="44"/>
          <w:szCs w:val="44"/>
        </w:rPr>
      </w:pP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rPr>
        <w:t>ITB-</w:t>
      </w:r>
      <w:bookmarkEnd w:id="0"/>
      <w:r>
        <w:rPr>
          <w:rFonts w:hint="eastAsia" w:ascii="宋体" w:hAnsi="宋体" w:eastAsia="宋体"/>
          <w:sz w:val="30"/>
          <w:szCs w:val="30"/>
          <w:lang w:eastAsia="zh-CN"/>
        </w:rPr>
        <w:t>LK-MMLK-ZB-JC2026-005</w:t>
      </w:r>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朗坤环保能源（茂名）有限公司</w:t>
      </w:r>
    </w:p>
    <w:p w14:paraId="2A11BBA1">
      <w:pPr>
        <w:ind w:firstLine="3900" w:firstLineChars="1300"/>
        <w:jc w:val="both"/>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hint="eastAsia" w:ascii="宋体" w:hAnsi="宋体" w:eastAsia="宋体"/>
          <w:sz w:val="30"/>
          <w:szCs w:val="30"/>
          <w:lang w:eastAsia="zh-CN"/>
        </w:rPr>
        <w:t>2026</w:t>
      </w:r>
      <w:r>
        <w:rPr>
          <w:rFonts w:ascii="宋体" w:hAnsi="宋体" w:eastAsia="宋体"/>
          <w:sz w:val="30"/>
          <w:szCs w:val="30"/>
        </w:rPr>
        <w:t>年</w:t>
      </w:r>
      <w:r>
        <w:rPr>
          <w:rFonts w:hint="eastAsia" w:ascii="宋体" w:hAnsi="宋体" w:eastAsia="宋体"/>
          <w:sz w:val="30"/>
          <w:szCs w:val="30"/>
          <w:lang w:val="en-US" w:eastAsia="zh-CN"/>
        </w:rPr>
        <w:t>5</w:t>
      </w:r>
      <w:r>
        <w:rPr>
          <w:rFonts w:ascii="宋体" w:hAnsi="宋体" w:eastAsia="宋体"/>
          <w:sz w:val="30"/>
          <w:szCs w:val="30"/>
        </w:rPr>
        <w:t>月</w:t>
      </w:r>
    </w:p>
    <w:p w14:paraId="019D775B">
      <w:pPr>
        <w:widowControl/>
        <w:spacing w:before="75" w:line="270" w:lineRule="atLeast"/>
        <w:jc w:val="left"/>
        <w:rPr>
          <w:rFonts w:ascii="Tahoma" w:hAnsi="Tahoma" w:eastAsia="宋体" w:cs="Tahoma"/>
          <w:color w:val="000000"/>
          <w:kern w:val="0"/>
          <w:sz w:val="18"/>
          <w:szCs w:val="18"/>
        </w:rPr>
      </w:pPr>
      <w:bookmarkStart w:id="1" w:name="_Toc184635054"/>
      <w:bookmarkStart w:id="2" w:name="_Toc91073131"/>
      <w:bookmarkStart w:id="3" w:name="_Toc176085606"/>
      <w:bookmarkStart w:id="4" w:name="_Toc456800085"/>
      <w:bookmarkStart w:id="5" w:name="_Toc456799687"/>
      <w:bookmarkStart w:id="6" w:name="_Toc456800166"/>
      <w:bookmarkStart w:id="7" w:name="_Toc456800242"/>
      <w:bookmarkStart w:id="8" w:name="_Toc456799795"/>
      <w:bookmarkStart w:id="9" w:name="_Toc456800136"/>
      <w:bookmarkStart w:id="10" w:name="_Toc456799947"/>
      <w:r>
        <w:rPr>
          <w:rFonts w:hint="eastAsia" w:ascii="宋体" w:hAnsi="宋体" w:eastAsia="宋体" w:cs="Tahoma"/>
          <w:color w:val="000000"/>
          <w:kern w:val="0"/>
          <w:szCs w:val="21"/>
        </w:rPr>
        <w:t>本招标项目高州绿能环保发电项目已由</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投资建设完成，朗坤环保能源（茂名）有限公司进行运营管理，企业筹划资金，现对该项目相关运营物资及技术服务进行招采</w:t>
      </w:r>
      <w:r>
        <w:rPr>
          <w:rFonts w:hint="eastAsia" w:ascii="宋体" w:hAnsi="宋体" w:eastAsia="宋体" w:cs="Tahoma"/>
          <w:color w:val="000000"/>
          <w:kern w:val="0"/>
          <w:szCs w:val="21"/>
          <w:lang w:val="en-US" w:eastAsia="zh-CN"/>
        </w:rPr>
        <w:t>购</w:t>
      </w:r>
      <w:r>
        <w:rPr>
          <w:rFonts w:hint="eastAsia" w:ascii="宋体" w:hAnsi="宋体" w:eastAsia="宋体" w:cs="Tahoma"/>
          <w:color w:val="000000"/>
          <w:kern w:val="0"/>
          <w:szCs w:val="21"/>
        </w:rPr>
        <w:t>。</w:t>
      </w:r>
    </w:p>
    <w:bookmarkEnd w:id="1"/>
    <w:bookmarkEnd w:id="2"/>
    <w:p w14:paraId="60016E6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一、项目名称：朗坤环保能源（茂名）有限公司项目</w:t>
      </w:r>
    </w:p>
    <w:p w14:paraId="106DB17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二、项目地址：广东省茂名高州市金山工业区高州绿能环保发电项目现场。</w:t>
      </w:r>
    </w:p>
    <w:p w14:paraId="45784374">
      <w:pPr>
        <w:widowControl/>
        <w:jc w:val="left"/>
        <w:rPr>
          <w:rFonts w:hint="default" w:ascii="Tahoma" w:hAnsi="Tahoma" w:eastAsia="宋体" w:cs="Tahoma"/>
          <w:color w:val="000000"/>
          <w:kern w:val="0"/>
          <w:sz w:val="18"/>
          <w:szCs w:val="18"/>
          <w:lang w:val="en-US" w:eastAsia="zh-CN"/>
        </w:rPr>
      </w:pPr>
      <w:r>
        <w:rPr>
          <w:rFonts w:hint="eastAsia" w:ascii="宋体" w:hAnsi="宋体" w:eastAsia="宋体" w:cs="Tahoma"/>
          <w:color w:val="000000"/>
          <w:kern w:val="0"/>
          <w:szCs w:val="21"/>
        </w:rPr>
        <w:t>三、</w:t>
      </w:r>
      <w:r>
        <w:rPr>
          <w:rFonts w:hint="eastAsia" w:ascii="宋体" w:hAnsi="宋体" w:eastAsia="宋体" w:cs="Tahoma"/>
          <w:color w:val="000000"/>
          <w:kern w:val="0"/>
          <w:szCs w:val="21"/>
          <w:lang w:val="en-US" w:eastAsia="zh-CN"/>
        </w:rPr>
        <w:t>文件</w:t>
      </w:r>
      <w:r>
        <w:rPr>
          <w:rFonts w:hint="eastAsia" w:ascii="宋体" w:hAnsi="宋体" w:eastAsia="宋体" w:cs="Tahoma"/>
          <w:color w:val="000000"/>
          <w:kern w:val="0"/>
          <w:szCs w:val="21"/>
        </w:rPr>
        <w:t>编号：</w:t>
      </w:r>
      <w:r>
        <w:rPr>
          <w:rFonts w:hint="eastAsia" w:ascii="宋体" w:hAnsi="宋体" w:eastAsia="宋体" w:cs="Tahoma"/>
          <w:b/>
          <w:bCs/>
          <w:color w:val="000000"/>
          <w:kern w:val="0"/>
          <w:szCs w:val="21"/>
          <w:lang w:eastAsia="zh-CN"/>
        </w:rPr>
        <w:t>LK-ZB-EB-2026013</w:t>
      </w:r>
      <w:bookmarkStart w:id="83" w:name="_GoBack"/>
      <w:bookmarkEnd w:id="83"/>
    </w:p>
    <w:p w14:paraId="7AE8B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四、采购方式：邀请招标（在线报价）</w:t>
      </w:r>
    </w:p>
    <w:p w14:paraId="3222F47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五、采购内容：暂定采购数量</w:t>
      </w:r>
      <w:r>
        <w:rPr>
          <w:rFonts w:hint="eastAsia" w:ascii="宋体" w:hAnsi="宋体" w:eastAsia="宋体" w:cs="Tahoma"/>
          <w:color w:val="000000"/>
          <w:kern w:val="0"/>
          <w:szCs w:val="21"/>
          <w:lang w:val="en-US" w:eastAsia="zh-CN"/>
        </w:rPr>
        <w:t>5000</w:t>
      </w:r>
      <w:r>
        <w:rPr>
          <w:rFonts w:hint="eastAsia" w:ascii="宋体" w:hAnsi="宋体" w:eastAsia="宋体" w:cs="Tahoma"/>
          <w:color w:val="000000"/>
          <w:kern w:val="0"/>
          <w:szCs w:val="21"/>
        </w:rPr>
        <w:t>吨熟石灰，氢氧化钙含量 ＞90% 、325目过筛率＞95%</w:t>
      </w:r>
      <w:r>
        <w:rPr>
          <w:rFonts w:ascii="宋体" w:hAnsi="宋体" w:eastAsia="宋体" w:cs="Tahoma"/>
          <w:color w:val="000000"/>
          <w:kern w:val="0"/>
          <w:szCs w:val="21"/>
        </w:rPr>
        <w:t xml:space="preserve"> 、</w:t>
      </w:r>
      <w:r>
        <w:rPr>
          <w:rFonts w:hint="eastAsia" w:ascii="宋体" w:hAnsi="宋体" w:eastAsia="宋体" w:cs="Tahoma"/>
          <w:color w:val="000000"/>
          <w:kern w:val="0"/>
          <w:szCs w:val="21"/>
        </w:rPr>
        <w:t>温升≤5℃（200g熟石灰与200ml水混合测试温升）</w:t>
      </w:r>
      <w:r>
        <w:rPr>
          <w:rFonts w:hint="eastAsia"/>
        </w:rPr>
        <w:t>酸不溶物≤</w:t>
      </w:r>
      <w:r>
        <w:t>1</w:t>
      </w:r>
      <w:r>
        <w:rPr>
          <w:rFonts w:hint="eastAsia"/>
        </w:rPr>
        <w:t>%，</w:t>
      </w:r>
      <w:r>
        <w:rPr>
          <w:rFonts w:hint="eastAsia" w:ascii="宋体" w:hAnsi="宋体" w:eastAsia="宋体" w:cs="Tahoma"/>
          <w:color w:val="000000"/>
          <w:kern w:val="0"/>
          <w:szCs w:val="21"/>
        </w:rPr>
        <w:t>含增值税13%专用发票 、含槽罐车运费保险费用、含卸货费。</w:t>
      </w:r>
    </w:p>
    <w:p w14:paraId="23EA25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六、用途说明：垃圾焚烧项目使用，</w:t>
      </w:r>
      <w:r>
        <w:rPr>
          <w:rFonts w:hint="eastAsia" w:ascii="宋体" w:hAnsi="宋体" w:eastAsia="宋体" w:cs="Tahoma"/>
          <w:color w:val="000000"/>
          <w:kern w:val="0"/>
          <w:szCs w:val="21"/>
          <w:lang w:val="en-US" w:eastAsia="zh-CN"/>
        </w:rPr>
        <w:t>交货时间：</w:t>
      </w:r>
      <w:r>
        <w:rPr>
          <w:rFonts w:hint="eastAsia" w:ascii="宋体" w:hAnsi="宋体" w:eastAsia="宋体" w:cs="Tahoma"/>
          <w:color w:val="000000"/>
          <w:kern w:val="0"/>
          <w:szCs w:val="21"/>
          <w:lang w:eastAsia="zh-CN"/>
        </w:rPr>
        <w:t>202</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月21日到202</w:t>
      </w:r>
      <w:r>
        <w:rPr>
          <w:rFonts w:hint="eastAsia" w:ascii="宋体" w:hAnsi="宋体" w:eastAsia="宋体" w:cs="Tahoma"/>
          <w:color w:val="000000"/>
          <w:kern w:val="0"/>
          <w:szCs w:val="21"/>
          <w:lang w:val="en-US" w:eastAsia="zh-CN"/>
        </w:rPr>
        <w:t>7</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月20日</w:t>
      </w:r>
      <w:r>
        <w:rPr>
          <w:rFonts w:hint="eastAsia" w:ascii="宋体" w:hAnsi="宋体" w:eastAsia="宋体" w:cs="Tahoma"/>
          <w:color w:val="000000"/>
          <w:kern w:val="0"/>
          <w:szCs w:val="21"/>
        </w:rPr>
        <w:t>。</w:t>
      </w:r>
    </w:p>
    <w:p w14:paraId="57B9F47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七、询价文件获取方式：有意向标投者请登录本司官网招标采购平台</w:t>
      </w:r>
      <w:r>
        <w:rPr>
          <w:rFonts w:hint="eastAsia" w:ascii="宋体" w:hAnsi="宋体" w:eastAsia="宋体" w:cs="Tahoma"/>
          <w:color w:val="000000"/>
          <w:kern w:val="0"/>
          <w:szCs w:val="21"/>
          <w:u w:val="single"/>
          <w:lang w:val="en-US" w:eastAsia="zh-CN"/>
        </w:rPr>
        <w:t>http://ebidding.leoking.com/Bidding/list_125.aspx</w:t>
      </w:r>
      <w:r>
        <w:rPr>
          <w:rFonts w:hint="eastAsia" w:ascii="宋体" w:hAnsi="宋体" w:eastAsia="宋体" w:cs="Tahoma"/>
          <w:color w:val="000000"/>
          <w:kern w:val="0"/>
          <w:szCs w:val="21"/>
        </w:rPr>
        <w:t>会员注册审核通过后，自行下载电子询价文件。</w:t>
      </w:r>
    </w:p>
    <w:p w14:paraId="4568C65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八、供应商资格要求：</w:t>
      </w:r>
    </w:p>
    <w:p w14:paraId="7141C8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投标人不限本国或外国，但必须在国内有具有独立法人资格的相应办事机构。</w:t>
      </w:r>
    </w:p>
    <w:p w14:paraId="694773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具有相似的设备应用案例，并且稳定运行3年以上。</w:t>
      </w:r>
    </w:p>
    <w:p w14:paraId="5C0DC98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投标人提供可供招标方进行实地考察的案例资料，包括：项目名称、地点、项目主要技术参数、投入运行时间等。</w:t>
      </w:r>
    </w:p>
    <w:p w14:paraId="1D4F673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投标人在近3年内不曾在任何合同中有违约或属投标人的原因而被终止合同。</w:t>
      </w:r>
    </w:p>
    <w:p w14:paraId="4BE60D0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处于正常营业期内的独立法人或独立经营主体。</w:t>
      </w:r>
    </w:p>
    <w:p w14:paraId="0B76598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能按照招标方要求提供相关的证明文件和手续。</w:t>
      </w:r>
    </w:p>
    <w:p w14:paraId="01226AF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具有良好的银行资信和商业信誉，没有处于被责令停业、财产被接管、冻结、破产和重组状态。</w:t>
      </w:r>
    </w:p>
    <w:p w14:paraId="58F3085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招标人认为需满足的其它条件。</w:t>
      </w:r>
    </w:p>
    <w:p w14:paraId="4040AD3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收到招标邀请并不代表受邀方完全具备合格投标资格。</w:t>
      </w:r>
    </w:p>
    <w:p w14:paraId="2B85C9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九、响应文件递交方式：</w:t>
      </w:r>
    </w:p>
    <w:p w14:paraId="24404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9.1投标截止时间：</w:t>
      </w:r>
      <w:r>
        <w:rPr>
          <w:rFonts w:hint="eastAsia" w:ascii="宋体" w:hAnsi="宋体" w:eastAsia="宋体" w:cs="Tahoma"/>
          <w:color w:val="000000"/>
          <w:kern w:val="0"/>
          <w:szCs w:val="21"/>
          <w:u w:val="single"/>
          <w:lang w:eastAsia="zh-CN"/>
        </w:rPr>
        <w:t>2026年</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月</w:t>
      </w:r>
      <w:r>
        <w:rPr>
          <w:rFonts w:hint="eastAsia" w:ascii="宋体" w:hAnsi="宋体" w:eastAsia="宋体" w:cs="Tahoma"/>
          <w:color w:val="000000"/>
          <w:kern w:val="0"/>
          <w:szCs w:val="21"/>
          <w:u w:val="single"/>
          <w:lang w:val="en-US" w:eastAsia="zh-CN"/>
        </w:rPr>
        <w:t>26</w:t>
      </w:r>
      <w:r>
        <w:rPr>
          <w:rFonts w:hint="eastAsia" w:ascii="宋体" w:hAnsi="宋体" w:eastAsia="宋体" w:cs="Tahoma"/>
          <w:color w:val="000000"/>
          <w:kern w:val="0"/>
          <w:szCs w:val="21"/>
          <w:u w:val="single"/>
          <w:lang w:eastAsia="zh-CN"/>
        </w:rPr>
        <w:t>日</w:t>
      </w:r>
      <w:r>
        <w:rPr>
          <w:rFonts w:hint="eastAsia" w:ascii="宋体" w:hAnsi="宋体" w:eastAsia="宋体" w:cs="Tahoma"/>
          <w:color w:val="000000"/>
          <w:kern w:val="0"/>
          <w:szCs w:val="21"/>
          <w:u w:val="single"/>
          <w:lang w:val="en-US" w:eastAsia="zh-CN"/>
        </w:rPr>
        <w:t>18</w:t>
      </w:r>
      <w:r>
        <w:rPr>
          <w:rFonts w:hint="eastAsia" w:ascii="宋体" w:hAnsi="宋体" w:eastAsia="宋体" w:cs="Tahoma"/>
          <w:color w:val="000000"/>
          <w:kern w:val="0"/>
          <w:szCs w:val="21"/>
          <w:u w:val="single"/>
        </w:rPr>
        <w:t>:00</w:t>
      </w:r>
      <w:r>
        <w:rPr>
          <w:rFonts w:hint="eastAsia" w:ascii="宋体" w:hAnsi="宋体" w:eastAsia="宋体" w:cs="Tahoma"/>
          <w:color w:val="000000"/>
          <w:kern w:val="0"/>
          <w:szCs w:val="21"/>
        </w:rPr>
        <w:t>时前，逾期不受理。</w:t>
      </w:r>
    </w:p>
    <w:p w14:paraId="0D56E7C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9.2投档方式</w:t>
      </w:r>
      <w:r>
        <w:rPr>
          <w:rFonts w:hint="eastAsia" w:ascii="宋体" w:hAnsi="宋体" w:eastAsia="宋体" w:cs="Tahoma"/>
          <w:b/>
          <w:bCs/>
          <w:color w:val="000000"/>
          <w:kern w:val="0"/>
          <w:szCs w:val="21"/>
          <w:u w:val="single"/>
        </w:rPr>
        <w:t>：</w:t>
      </w:r>
      <w:r>
        <w:rPr>
          <w:rFonts w:hint="eastAsia" w:ascii="宋体" w:hAnsi="宋体" w:eastAsia="宋体" w:cs="Tahoma"/>
          <w:color w:val="000000"/>
          <w:kern w:val="0"/>
          <w:szCs w:val="21"/>
          <w:u w:val="single"/>
        </w:rPr>
        <w:t>选择第（2）电子档投递方式</w:t>
      </w:r>
    </w:p>
    <w:p w14:paraId="59517C5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（1）纸质档投递方式：报价文件须密封后于投标截止时间前送到开标地点，快递或上门送件方式，地点</w:t>
      </w:r>
      <w:r>
        <w:rPr>
          <w:rFonts w:hint="eastAsia" w:ascii="宋体" w:hAnsi="宋体" w:eastAsia="宋体" w:cs="Tahoma"/>
          <w:color w:val="000000"/>
          <w:kern w:val="0"/>
          <w:szCs w:val="21"/>
          <w:u w:val="single"/>
        </w:rPr>
        <w:t>：深圳市龙岗区坪地街道高桥社区朗坤科技园10楼招标采购中心收。</w:t>
      </w:r>
    </w:p>
    <w:p w14:paraId="6DC45A7B">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2）电子档投递方式：投标截止时间前登录朗坤环境官网招标采购平台https://www.leoking.com/Bidding/list_125.aspx，会员登录后在采购信息栏目招标项目上点击“我要报价”，将报价文件以电子档压缩文件*.zip或*.rar格式上传（只允许上传1个压缩包，并且将报价文件扫描件PDF档加盖有效章印+office可编辑档一起压缩）。</w:t>
      </w:r>
      <w:r>
        <w:rPr>
          <w:rFonts w:hint="eastAsia" w:ascii="宋体" w:hAnsi="宋体" w:eastAsia="宋体" w:cs="Tahoma"/>
          <w:b/>
          <w:bCs/>
          <w:color w:val="000000"/>
          <w:kern w:val="0"/>
          <w:szCs w:val="21"/>
          <w:u w:val="single"/>
        </w:rPr>
        <w:t>报价文件压缩时要求使用密码加密，开标时再提供密码解压。</w:t>
      </w:r>
    </w:p>
    <w:p w14:paraId="7FB3C82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9.3逾期收到或不符合招标文件要求的投标文件恕不接受，开标时间另行通知。</w:t>
      </w:r>
    </w:p>
    <w:p w14:paraId="0B698E1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十、联系方式</w:t>
      </w:r>
    </w:p>
    <w:p w14:paraId="170990ED">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招标询价人：</w:t>
      </w:r>
      <w:r>
        <w:rPr>
          <w:rFonts w:hint="eastAsia" w:ascii="宋体" w:hAnsi="宋体" w:eastAsia="宋体" w:cs="Tahoma"/>
          <w:color w:val="000000"/>
          <w:kern w:val="0"/>
          <w:szCs w:val="21"/>
        </w:rPr>
        <w:t>朗坤环保能源（茂名）有限公司</w:t>
      </w:r>
    </w:p>
    <w:p w14:paraId="72637181">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地址：</w:t>
      </w:r>
      <w:r>
        <w:rPr>
          <w:rFonts w:hint="eastAsia" w:ascii="宋体" w:hAnsi="宋体" w:eastAsia="宋体" w:cs="Tahoma"/>
          <w:color w:val="000000"/>
          <w:kern w:val="0"/>
          <w:szCs w:val="21"/>
        </w:rPr>
        <w:t>深圳市龙岗区坪地街道高桥社区朗坤科技园10楼</w:t>
      </w:r>
    </w:p>
    <w:p w14:paraId="62DEAA03">
      <w:pPr>
        <w:widowControl/>
        <w:jc w:val="left"/>
        <w:rPr>
          <w:rFonts w:hint="eastAsia" w:ascii="宋体" w:hAnsi="宋体" w:eastAsia="宋体" w:cs="Tahoma"/>
          <w:color w:val="000000"/>
          <w:kern w:val="0"/>
          <w:szCs w:val="21"/>
          <w:lang w:val="en-US" w:eastAsia="zh-CN"/>
        </w:rPr>
      </w:pPr>
      <w:r>
        <w:rPr>
          <w:rFonts w:hint="eastAsia" w:ascii="宋体" w:hAnsi="宋体" w:eastAsia="宋体" w:cs="Tahoma"/>
          <w:color w:val="000000"/>
          <w:kern w:val="0"/>
          <w:szCs w:val="21"/>
        </w:rPr>
        <w:t>联系人：余巍</w:t>
      </w:r>
      <w:r>
        <w:rPr>
          <w:rFonts w:hint="eastAsia" w:ascii="宋体" w:hAnsi="宋体" w:eastAsia="宋体" w:cs="Tahoma"/>
          <w:color w:val="000000"/>
          <w:kern w:val="0"/>
          <w:szCs w:val="21"/>
          <w:lang w:val="en-US" w:eastAsia="zh-CN"/>
        </w:rPr>
        <w:t xml:space="preserve">    </w:t>
      </w:r>
      <w:r>
        <w:rPr>
          <w:rFonts w:hint="eastAsia" w:ascii="宋体" w:hAnsi="宋体" w:eastAsia="宋体" w:cs="Tahoma"/>
          <w:color w:val="000000"/>
          <w:kern w:val="0"/>
          <w:szCs w:val="21"/>
        </w:rPr>
        <w:t>电话：18</w:t>
      </w:r>
      <w:r>
        <w:rPr>
          <w:rFonts w:hint="eastAsia" w:ascii="宋体" w:hAnsi="宋体" w:eastAsia="宋体" w:cs="Tahoma"/>
          <w:color w:val="000000"/>
          <w:kern w:val="0"/>
          <w:szCs w:val="21"/>
          <w:lang w:val="en-US" w:eastAsia="zh-CN"/>
        </w:rPr>
        <w:t xml:space="preserve">028712839 </w:t>
      </w:r>
    </w:p>
    <w:p w14:paraId="5847E8D1">
      <w:pPr>
        <w:widowControl/>
        <w:jc w:val="left"/>
        <w:rPr>
          <w:rFonts w:hint="eastAsia" w:ascii="Tahoma" w:hAnsi="Tahoma" w:eastAsia="宋体" w:cs="Tahoma"/>
          <w:color w:val="000000"/>
          <w:kern w:val="0"/>
          <w:sz w:val="18"/>
          <w:szCs w:val="18"/>
          <w:lang w:eastAsia="zh-CN"/>
        </w:rPr>
      </w:pPr>
      <w:r>
        <w:rPr>
          <w:rFonts w:hint="eastAsia" w:ascii="宋体" w:hAnsi="宋体" w:eastAsia="宋体" w:cs="Tahoma"/>
          <w:color w:val="000000"/>
          <w:kern w:val="0"/>
          <w:szCs w:val="21"/>
        </w:rPr>
        <w:t>邮箱：</w:t>
      </w:r>
      <w:r>
        <w:rPr>
          <w:rFonts w:hint="eastAsia" w:ascii="宋体" w:hAnsi="宋体" w:eastAsia="宋体" w:cs="Tahoma"/>
          <w:color w:val="000000"/>
          <w:kern w:val="0"/>
          <w:szCs w:val="21"/>
          <w:lang w:eastAsia="zh-CN"/>
        </w:rPr>
        <w:t>yuwei@leoking.com</w:t>
      </w:r>
    </w:p>
    <w:p w14:paraId="6C990D3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本采购文件及附件内容的一切解释权归</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所有。</w:t>
      </w:r>
    </w:p>
    <w:p w14:paraId="7BDA496B"/>
    <w:p w14:paraId="731F3BDF">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11" w:name="_Toc91073141"/>
      <w:r>
        <w:rPr>
          <w:rFonts w:hint="eastAsia" w:ascii="宋体" w:hAnsi="宋体"/>
          <w:b w:val="0"/>
          <w:color w:val="000000"/>
          <w:sz w:val="24"/>
          <w:szCs w:val="24"/>
        </w:rPr>
        <w:t>附件 1-1：投标意向确认书格式</w:t>
      </w:r>
      <w:bookmarkEnd w:id="3"/>
      <w:bookmarkEnd w:id="11"/>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hint="eastAsia" w:ascii="宋体" w:hAnsi="宋体" w:eastAsia="宋体"/>
          <w:color w:val="000000"/>
          <w:szCs w:val="24"/>
          <w:u w:val="single"/>
          <w:lang w:eastAsia="zh-CN"/>
        </w:rPr>
        <w:t>18028712839</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朗坤环保能源（茂名）有限公司熟石灰</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 xml:space="preserve">LK-MMLK-ZB-JC2026-005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0D44B4B7">
      <w:pPr>
        <w:spacing w:line="360" w:lineRule="auto"/>
        <w:ind w:left="6264" w:leftChars="2610" w:firstLine="720" w:firstLineChars="300"/>
        <w:rPr>
          <w:rFonts w:hint="eastAsia" w:ascii="宋体" w:hAnsi="宋体" w:eastAsia="宋体"/>
          <w:color w:val="000000"/>
          <w:szCs w:val="24"/>
          <w:u w:val="single"/>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bookmarkStart w:id="12" w:name="_Toc91073207"/>
    </w:p>
    <w:p w14:paraId="6E4A44A9">
      <w:pPr>
        <w:spacing w:line="360" w:lineRule="auto"/>
        <w:ind w:left="6264" w:leftChars="2610" w:firstLine="720" w:firstLineChars="300"/>
        <w:rPr>
          <w:rFonts w:hint="eastAsia" w:ascii="宋体" w:hAnsi="宋体" w:eastAsia="宋体"/>
          <w:color w:val="000000"/>
          <w:szCs w:val="24"/>
          <w:u w:val="single"/>
        </w:rPr>
      </w:pPr>
    </w:p>
    <w:p w14:paraId="3C246598">
      <w:pPr>
        <w:pStyle w:val="2"/>
        <w:spacing w:before="120" w:beforeLines="50" w:after="120" w:afterLines="50"/>
        <w:ind w:firstLine="3200" w:firstLineChars="1000"/>
        <w:jc w:val="both"/>
        <w:rPr>
          <w:rFonts w:ascii="宋体" w:hAnsi="宋体" w:eastAsia="宋体"/>
          <w:b w:val="0"/>
          <w:color w:val="000000"/>
          <w:sz w:val="32"/>
          <w:szCs w:val="32"/>
        </w:rPr>
      </w:pPr>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1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2"/>
        <w:gridCol w:w="7958"/>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222"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总体要求</w:t>
            </w:r>
          </w:p>
        </w:tc>
        <w:tc>
          <w:tcPr>
            <w:tcW w:w="7958"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Theme="minorEastAsia" w:hAnsiTheme="minorEastAsia" w:eastAsiaTheme="minorEastAsia"/>
              </w:rPr>
              <w:t>条款：</w:t>
            </w:r>
            <w:r>
              <w:rPr>
                <w:rFonts w:hint="eastAsia" w:asciiTheme="minorEastAsia" w:hAnsiTheme="minorEastAsia" w:eastAsiaTheme="minorEastAsia"/>
                <w:szCs w:val="24"/>
              </w:rPr>
              <w:t>包括不限于货物生产前准备、生产、运输（运输到业主指定交货地点）、燃料费、司机人员工资、转运、保护、</w:t>
            </w:r>
            <w:r>
              <w:rPr>
                <w:rFonts w:hint="eastAsia" w:asciiTheme="minorEastAsia" w:hAnsiTheme="minorEastAsia" w:eastAsiaTheme="minorEastAsia"/>
                <w:szCs w:val="24"/>
                <w:lang w:val="en-US" w:eastAsia="zh-CN"/>
              </w:rPr>
              <w:t>槽罐车</w:t>
            </w:r>
            <w:r>
              <w:rPr>
                <w:rFonts w:hint="eastAsia" w:asciiTheme="minorEastAsia" w:hAnsiTheme="minorEastAsia" w:eastAsiaTheme="minorEastAsia"/>
                <w:szCs w:val="24"/>
              </w:rPr>
              <w:t>装卸、保险、相关税费、验收（含出厂到货验收）、质量抽检、第三方检测、售后及技术服务（包括质保期保障）。</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222"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发票种类</w:t>
            </w:r>
          </w:p>
        </w:tc>
        <w:tc>
          <w:tcPr>
            <w:tcW w:w="7958"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22"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质保期</w:t>
            </w:r>
          </w:p>
        </w:tc>
        <w:tc>
          <w:tcPr>
            <w:tcW w:w="7958" w:type="dxa"/>
            <w:tcBorders>
              <w:top w:val="single" w:color="auto" w:sz="4" w:space="0"/>
              <w:left w:val="single" w:color="auto" w:sz="4" w:space="0"/>
              <w:bottom w:val="single" w:color="auto" w:sz="4" w:space="0"/>
              <w:right w:val="single" w:color="auto" w:sz="4" w:space="0"/>
            </w:tcBorders>
            <w:vAlign w:val="center"/>
          </w:tcPr>
          <w:p w14:paraId="0C4E515A">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半年</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222"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交货时间及地点</w:t>
            </w:r>
          </w:p>
        </w:tc>
        <w:tc>
          <w:tcPr>
            <w:tcW w:w="7958" w:type="dxa"/>
            <w:tcBorders>
              <w:top w:val="single" w:color="auto" w:sz="4" w:space="0"/>
              <w:left w:val="single" w:color="auto" w:sz="4" w:space="0"/>
              <w:bottom w:val="single" w:color="auto" w:sz="4" w:space="0"/>
              <w:right w:val="single" w:color="auto" w:sz="4" w:space="0"/>
            </w:tcBorders>
            <w:vAlign w:val="center"/>
          </w:tcPr>
          <w:p w14:paraId="7E1A3AD5">
            <w:pPr>
              <w:snapToGrid w:val="0"/>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交货时间：我司通知</w:t>
            </w:r>
          </w:p>
          <w:p w14:paraId="2549EAE3">
            <w:pPr>
              <w:snapToGrid w:val="0"/>
              <w:spacing w:line="360" w:lineRule="auto"/>
              <w:rPr>
                <w:rFonts w:ascii="宋体" w:hAnsi="宋体" w:eastAsia="宋体"/>
                <w:color w:val="FF0000"/>
                <w:sz w:val="21"/>
                <w:szCs w:val="21"/>
                <w:u w:val="single"/>
              </w:rPr>
            </w:pPr>
            <w:r>
              <w:rPr>
                <w:rFonts w:hint="eastAsia" w:asciiTheme="minorEastAsia" w:hAnsiTheme="minorEastAsia" w:eastAsiaTheme="minorEastAsia"/>
                <w:color w:val="000000"/>
              </w:rPr>
              <w:t>交货地点：</w:t>
            </w:r>
            <w:r>
              <w:rPr>
                <w:rFonts w:hint="eastAsia" w:asciiTheme="minorEastAsia" w:hAnsiTheme="minorEastAsia" w:eastAsiaTheme="minorEastAsia"/>
                <w:color w:val="000000"/>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222"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付款条件</w:t>
            </w:r>
          </w:p>
        </w:tc>
        <w:tc>
          <w:tcPr>
            <w:tcW w:w="7958" w:type="dxa"/>
            <w:tcBorders>
              <w:top w:val="single" w:color="auto" w:sz="4" w:space="0"/>
              <w:left w:val="single" w:color="auto" w:sz="4" w:space="0"/>
              <w:bottom w:val="single" w:color="auto" w:sz="4" w:space="0"/>
              <w:right w:val="single" w:color="auto" w:sz="4" w:space="0"/>
            </w:tcBorders>
            <w:vAlign w:val="center"/>
          </w:tcPr>
          <w:p w14:paraId="37EA8A07">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签订合同后乙方发货，后到货</w:t>
            </w: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rPr>
              <w:t>0天内结清。</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222"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4817A848">
            <w:pPr>
              <w:tabs>
                <w:tab w:val="left" w:pos="0"/>
                <w:tab w:val="left" w:pos="567"/>
                <w:tab w:val="left" w:pos="1107"/>
              </w:tabs>
              <w:spacing w:line="360" w:lineRule="auto"/>
              <w:rPr>
                <w:rFonts w:ascii="Calibri" w:hAnsi="宋体" w:eastAsia="宋体" w:cs="Calibri"/>
                <w:kern w:val="0"/>
                <w:szCs w:val="24"/>
              </w:rPr>
            </w:pPr>
            <w:r>
              <w:rPr>
                <w:rFonts w:hint="eastAsia" w:asciiTheme="minorEastAsia" w:hAnsiTheme="minorEastAsia" w:eastAsiaTheme="minorEastAsia"/>
              </w:rPr>
              <w:t>本合同为年度采购合同，招标项目选取两家单位作为供应商，第一中标人和第二中标人年度计划供应总量均为</w:t>
            </w:r>
            <w:r>
              <w:rPr>
                <w:rFonts w:hint="eastAsia" w:ascii="Calibri" w:hAnsi="宋体" w:eastAsia="宋体" w:cs="Calibri"/>
                <w:kern w:val="0"/>
                <w:szCs w:val="24"/>
                <w:lang w:val="en-US" w:eastAsia="zh-CN"/>
              </w:rPr>
              <w:t>500</w:t>
            </w:r>
            <w:r>
              <w:rPr>
                <w:rFonts w:ascii="Calibri" w:hAnsi="宋体" w:eastAsia="宋体" w:cs="Calibri"/>
                <w:kern w:val="0"/>
                <w:szCs w:val="24"/>
              </w:rPr>
              <w:t>0</w:t>
            </w:r>
            <w:r>
              <w:rPr>
                <w:rFonts w:hint="eastAsia" w:ascii="Calibri" w:hAnsi="宋体" w:eastAsia="宋体" w:cs="Calibri"/>
                <w:kern w:val="0"/>
                <w:szCs w:val="24"/>
              </w:rPr>
              <w:t>吨，不分先后顺序，由招标人根据项目需求及实际情况选择通知两名中标人随时送货，每车次具体供货数量按采购人供货通知为准，两名中标人在收到招标负责人通知（以订单形式、短信形式、电子邮件形式均可）送货后2日内交货到厂，如有特殊情况需要紧急供货时，中标人（包含第一中标、第二中标人）应在收到招标负责人订单或电子邮件、短信等通知后在10小时内交货到指定电厂项目。中标人应当常备充足的货物，在上述计划采购数量供应完毕后，合同期内招标人有权要求中标人继续供货，中标人不得提出任何异议，也不得要求招标人调整价格、支付任何赔偿或补偿。</w:t>
            </w:r>
          </w:p>
          <w:p w14:paraId="6D2EF832">
            <w:pPr>
              <w:spacing w:line="360" w:lineRule="auto"/>
              <w:rPr>
                <w:rFonts w:ascii="宋体" w:hAnsi="宋体" w:eastAsia="宋体"/>
                <w:color w:val="FF0000"/>
                <w:sz w:val="21"/>
                <w:szCs w:val="21"/>
              </w:rPr>
            </w:pPr>
            <w:r>
              <w:rPr>
                <w:rFonts w:hint="eastAsia" w:ascii="Calibri" w:hAnsi="宋体" w:eastAsia="宋体" w:cs="Calibri"/>
                <w:kern w:val="0"/>
                <w:szCs w:val="24"/>
              </w:rPr>
              <w:t>若</w:t>
            </w:r>
            <w:r>
              <w:rPr>
                <w:rFonts w:ascii="Calibri" w:hAnsi="宋体" w:eastAsia="宋体" w:cs="Calibri"/>
                <w:kern w:val="0"/>
                <w:szCs w:val="24"/>
              </w:rPr>
              <w:t>在</w:t>
            </w:r>
            <w:r>
              <w:rPr>
                <w:rFonts w:hint="eastAsia" w:ascii="Calibri" w:hAnsi="宋体" w:eastAsia="宋体" w:cs="Calibri"/>
                <w:kern w:val="0"/>
                <w:szCs w:val="24"/>
              </w:rPr>
              <w:t>项</w:t>
            </w:r>
            <w:r>
              <w:rPr>
                <w:rFonts w:ascii="Calibri" w:hAnsi="宋体" w:eastAsia="宋体" w:cs="Calibri"/>
                <w:kern w:val="0"/>
                <w:szCs w:val="24"/>
              </w:rPr>
              <w:t>目</w:t>
            </w:r>
            <w:r>
              <w:rPr>
                <w:rFonts w:hint="eastAsia" w:ascii="Calibri" w:hAnsi="宋体" w:eastAsia="宋体" w:cs="Calibri"/>
                <w:kern w:val="0"/>
                <w:szCs w:val="24"/>
              </w:rPr>
              <w:t>试</w:t>
            </w:r>
            <w:r>
              <w:rPr>
                <w:rFonts w:ascii="Calibri" w:hAnsi="宋体" w:eastAsia="宋体" w:cs="Calibri"/>
                <w:kern w:val="0"/>
                <w:szCs w:val="24"/>
              </w:rPr>
              <w:t>运行和调试过程中发现中标人所</w:t>
            </w:r>
            <w:r>
              <w:rPr>
                <w:rFonts w:hint="eastAsia" w:ascii="Calibri" w:hAnsi="宋体" w:eastAsia="宋体" w:cs="Calibri"/>
                <w:kern w:val="0"/>
                <w:szCs w:val="24"/>
              </w:rPr>
              <w:t>提</w:t>
            </w:r>
            <w:r>
              <w:rPr>
                <w:rFonts w:ascii="Calibri" w:hAnsi="宋体" w:eastAsia="宋体" w:cs="Calibri"/>
                <w:kern w:val="0"/>
                <w:szCs w:val="24"/>
              </w:rPr>
              <w:t>供的</w:t>
            </w:r>
            <w:r>
              <w:rPr>
                <w:rFonts w:hint="eastAsia" w:ascii="Calibri" w:hAnsi="宋体" w:eastAsia="宋体" w:cs="Calibri"/>
                <w:kern w:val="0"/>
                <w:szCs w:val="24"/>
              </w:rPr>
              <w:t>药剂</w:t>
            </w:r>
            <w:r>
              <w:rPr>
                <w:rFonts w:ascii="Calibri" w:hAnsi="宋体" w:eastAsia="宋体" w:cs="Calibri"/>
                <w:kern w:val="0"/>
                <w:szCs w:val="24"/>
              </w:rPr>
              <w:t>参数不符合</w:t>
            </w:r>
            <w:r>
              <w:rPr>
                <w:rFonts w:hint="eastAsia" w:ascii="Calibri" w:hAnsi="宋体" w:eastAsia="宋体" w:cs="Calibri"/>
                <w:kern w:val="0"/>
                <w:szCs w:val="24"/>
              </w:rPr>
              <w:t>招</w:t>
            </w:r>
            <w:r>
              <w:rPr>
                <w:rFonts w:ascii="Calibri" w:hAnsi="宋体" w:eastAsia="宋体" w:cs="Calibri"/>
                <w:kern w:val="0"/>
                <w:szCs w:val="24"/>
              </w:rPr>
              <w:t>标人使用要求，</w:t>
            </w:r>
            <w:r>
              <w:rPr>
                <w:rFonts w:hint="eastAsia" w:ascii="Calibri" w:hAnsi="宋体" w:eastAsia="宋体" w:cs="Calibri"/>
                <w:kern w:val="0"/>
                <w:szCs w:val="24"/>
              </w:rPr>
              <w:t>招</w:t>
            </w:r>
            <w:r>
              <w:rPr>
                <w:rFonts w:ascii="Calibri" w:hAnsi="宋体" w:eastAsia="宋体" w:cs="Calibri"/>
                <w:kern w:val="0"/>
                <w:szCs w:val="24"/>
              </w:rPr>
              <w:t>标人允许中标</w:t>
            </w:r>
            <w:r>
              <w:rPr>
                <w:rFonts w:hint="eastAsia" w:ascii="Calibri" w:hAnsi="宋体" w:eastAsia="宋体" w:cs="Calibri"/>
                <w:kern w:val="0"/>
                <w:szCs w:val="24"/>
              </w:rPr>
              <w:t>人免</w:t>
            </w:r>
            <w:r>
              <w:rPr>
                <w:rFonts w:ascii="Calibri" w:hAnsi="宋体" w:eastAsia="宋体" w:cs="Calibri"/>
                <w:kern w:val="0"/>
                <w:szCs w:val="24"/>
              </w:rPr>
              <w:t>费更换药剂至合</w:t>
            </w:r>
            <w:r>
              <w:rPr>
                <w:rFonts w:hint="eastAsia" w:ascii="Calibri" w:hAnsi="宋体" w:eastAsia="宋体" w:cs="Calibri"/>
                <w:kern w:val="0"/>
                <w:szCs w:val="24"/>
              </w:rPr>
              <w:t>格</w:t>
            </w:r>
            <w:r>
              <w:rPr>
                <w:rFonts w:ascii="Calibri" w:hAnsi="宋体" w:eastAsia="宋体" w:cs="Calibri"/>
                <w:kern w:val="0"/>
                <w:szCs w:val="24"/>
              </w:rPr>
              <w:t>为止</w:t>
            </w:r>
            <w:r>
              <w:rPr>
                <w:rFonts w:hint="eastAsia" w:ascii="Calibri" w:hAnsi="宋体" w:eastAsia="宋体" w:cs="Calibri"/>
                <w:kern w:val="0"/>
                <w:szCs w:val="24"/>
              </w:rPr>
              <w:t>，</w:t>
            </w:r>
            <w:r>
              <w:rPr>
                <w:rFonts w:ascii="Calibri" w:hAnsi="宋体" w:eastAsia="宋体" w:cs="Calibri"/>
                <w:kern w:val="0"/>
                <w:szCs w:val="24"/>
              </w:rPr>
              <w:t>也可</w:t>
            </w:r>
            <w:r>
              <w:rPr>
                <w:rFonts w:hint="eastAsia" w:ascii="Calibri" w:hAnsi="宋体" w:eastAsia="宋体" w:cs="Calibri"/>
                <w:kern w:val="0"/>
                <w:szCs w:val="24"/>
              </w:rPr>
              <w:t>选</w:t>
            </w:r>
            <w:r>
              <w:rPr>
                <w:rFonts w:ascii="Calibri" w:hAnsi="宋体" w:eastAsia="宋体" w:cs="Calibri"/>
                <w:kern w:val="0"/>
                <w:szCs w:val="24"/>
              </w:rPr>
              <w:t>择终止与中标人的合作关系，</w:t>
            </w:r>
            <w:r>
              <w:rPr>
                <w:rFonts w:hint="eastAsia" w:ascii="Calibri" w:hAnsi="宋体" w:eastAsia="宋体" w:cs="Calibri"/>
                <w:kern w:val="0"/>
                <w:szCs w:val="24"/>
              </w:rPr>
              <w:t>重</w:t>
            </w:r>
            <w:r>
              <w:rPr>
                <w:rFonts w:ascii="Calibri" w:hAnsi="宋体" w:eastAsia="宋体" w:cs="Calibri"/>
                <w:kern w:val="0"/>
                <w:szCs w:val="24"/>
              </w:rPr>
              <w:t>新</w:t>
            </w:r>
            <w:r>
              <w:rPr>
                <w:rFonts w:hint="eastAsia" w:ascii="Calibri" w:hAnsi="宋体" w:eastAsia="宋体" w:cs="Calibri"/>
                <w:kern w:val="0"/>
                <w:szCs w:val="24"/>
              </w:rPr>
              <w:t>启</w:t>
            </w:r>
            <w:r>
              <w:rPr>
                <w:rFonts w:ascii="Calibri" w:hAnsi="宋体" w:eastAsia="宋体" w:cs="Calibri"/>
                <w:kern w:val="0"/>
                <w:szCs w:val="24"/>
              </w:rPr>
              <w:t>动</w:t>
            </w:r>
            <w:r>
              <w:rPr>
                <w:rFonts w:hint="eastAsia" w:ascii="Calibri" w:hAnsi="宋体" w:eastAsia="宋体" w:cs="Calibri"/>
                <w:kern w:val="0"/>
                <w:szCs w:val="24"/>
              </w:rPr>
              <w:t>招</w:t>
            </w:r>
            <w:r>
              <w:rPr>
                <w:rFonts w:ascii="Calibri" w:hAnsi="宋体" w:eastAsia="宋体" w:cs="Calibri"/>
                <w:kern w:val="0"/>
                <w:szCs w:val="24"/>
              </w:rPr>
              <w:t>标工作</w:t>
            </w:r>
            <w:r>
              <w:rPr>
                <w:rFonts w:hint="eastAsia" w:ascii="Calibri" w:hAnsi="宋体" w:eastAsia="宋体" w:cs="Calibri"/>
                <w:kern w:val="0"/>
                <w:szCs w:val="24"/>
              </w:rPr>
              <w:t>，</w:t>
            </w:r>
            <w:r>
              <w:rPr>
                <w:rFonts w:ascii="Calibri" w:hAnsi="宋体" w:eastAsia="宋体" w:cs="Calibri"/>
                <w:kern w:val="0"/>
                <w:szCs w:val="24"/>
              </w:rPr>
              <w:t>更换供</w:t>
            </w:r>
            <w:r>
              <w:rPr>
                <w:rFonts w:hint="eastAsia" w:ascii="Calibri" w:hAnsi="宋体" w:eastAsia="宋体" w:cs="Calibri"/>
                <w:kern w:val="0"/>
                <w:szCs w:val="24"/>
              </w:rPr>
              <w:t>应</w:t>
            </w:r>
            <w:r>
              <w:rPr>
                <w:rFonts w:ascii="Calibri" w:hAnsi="宋体" w:eastAsia="宋体" w:cs="Calibri"/>
                <w:kern w:val="0"/>
                <w:szCs w:val="24"/>
              </w:rPr>
              <w:t>商。</w:t>
            </w:r>
            <w:r>
              <w:rPr>
                <w:rFonts w:hint="eastAsia" w:ascii="宋体" w:hAnsi="宋体" w:eastAsia="宋体"/>
                <w:color w:val="FF0000"/>
                <w:sz w:val="21"/>
                <w:szCs w:val="21"/>
              </w:rPr>
              <w:t>。</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06D79AA4">
            <w:pPr>
              <w:snapToGrid w:val="0"/>
              <w:spacing w:line="360" w:lineRule="auto"/>
              <w:rPr>
                <w:rFonts w:asciiTheme="minorEastAsia" w:hAnsiTheme="minorEastAsia" w:eastAsiaTheme="minorEastAsia"/>
              </w:rPr>
            </w:pPr>
            <w:r>
              <w:rPr>
                <w:rFonts w:hint="eastAsia" w:asciiTheme="minorEastAsia" w:hAnsiTheme="minorEastAsia" w:eastAsiaTheme="minorEastAsia"/>
              </w:rPr>
              <w:t>1）供方须根据买方提供的技术要求，完成设备的具体设计方案，并按照本标书技术部分的要求提交相应的技术文件和资料</w:t>
            </w:r>
          </w:p>
          <w:p w14:paraId="7FD80B56">
            <w:pPr>
              <w:snapToGrid w:val="0"/>
              <w:spacing w:line="360" w:lineRule="auto"/>
              <w:rPr>
                <w:rFonts w:asciiTheme="minorEastAsia" w:hAnsiTheme="minorEastAsia" w:eastAsiaTheme="minorEastAsia"/>
              </w:rPr>
            </w:pPr>
            <w:r>
              <w:rPr>
                <w:rFonts w:hint="eastAsia" w:asciiTheme="minorEastAsia" w:hAnsiTheme="minorEastAsia" w:eastAsiaTheme="minorEastAsia"/>
              </w:rPr>
              <w:t>2）按买方的技术文件供货；</w:t>
            </w:r>
          </w:p>
          <w:p w14:paraId="1D325298">
            <w:pPr>
              <w:snapToGrid w:val="0"/>
              <w:spacing w:line="360" w:lineRule="auto"/>
              <w:rPr>
                <w:rFonts w:asciiTheme="minorEastAsia" w:hAnsiTheme="minorEastAsia" w:eastAsiaTheme="minorEastAsia"/>
              </w:rPr>
            </w:pPr>
            <w:r>
              <w:rPr>
                <w:rFonts w:hint="eastAsia" w:asciiTheme="minorEastAsia" w:hAnsiTheme="minorEastAsia" w:eastAsiaTheme="minorEastAsia"/>
              </w:rPr>
              <w:t>3）按承诺的交货时间将设备运至买方指定安装地点；</w:t>
            </w:r>
          </w:p>
          <w:p w14:paraId="466BB56F">
            <w:pPr>
              <w:snapToGrid w:val="0"/>
              <w:spacing w:line="360" w:lineRule="auto"/>
              <w:rPr>
                <w:rFonts w:asciiTheme="minorEastAsia" w:hAnsiTheme="minorEastAsia" w:eastAsiaTheme="minorEastAsia"/>
              </w:rPr>
            </w:pPr>
            <w:r>
              <w:rPr>
                <w:rFonts w:hint="eastAsia" w:asciiTheme="minorEastAsia" w:hAnsiTheme="minorEastAsia" w:eastAsiaTheme="minorEastAsia"/>
              </w:rPr>
              <w:t>4) 随货须提供送货清单、质量检测报告、合格证、说明书或操作说明、保养手册、强制认证证书（如有）、报关文件（如有）等资料；</w:t>
            </w:r>
          </w:p>
          <w:p w14:paraId="089C9C4E">
            <w:pPr>
              <w:spacing w:line="360" w:lineRule="auto"/>
              <w:ind w:firstLine="33" w:firstLineChars="14"/>
              <w:rPr>
                <w:rFonts w:ascii="宋体" w:hAnsi="宋体" w:eastAsia="宋体"/>
                <w:color w:val="FF0000"/>
                <w:sz w:val="21"/>
                <w:szCs w:val="21"/>
              </w:rPr>
            </w:pPr>
            <w:r>
              <w:rPr>
                <w:rFonts w:hint="eastAsia" w:asciiTheme="minorEastAsia" w:hAnsiTheme="minorEastAsia" w:eastAsiaTheme="minorEastAsia"/>
              </w:rPr>
              <w:t>5）所有到场货物须接受买方的检验，需送第三方机构进行检测的，供方须无条件配合并承担相关费用。</w:t>
            </w:r>
          </w:p>
        </w:tc>
      </w:tr>
      <w:tr w14:paraId="52B53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42E4FADD">
            <w:pPr>
              <w:snapToGrid w:val="0"/>
              <w:spacing w:line="360" w:lineRule="auto"/>
              <w:jc w:val="center"/>
              <w:rPr>
                <w:rFonts w:hint="eastAsia" w:asciiTheme="minorEastAsia" w:hAnsiTheme="minorEastAsia" w:eastAsiaTheme="minorEastAsia"/>
              </w:rPr>
            </w:pPr>
            <w:r>
              <w:rPr>
                <w:rFonts w:hint="eastAsia" w:asciiTheme="minorEastAsia" w:hAnsiTheme="minorEastAsia" w:eastAsiaTheme="minorEastAsia"/>
              </w:rPr>
              <w:t>验收标准结算条款</w:t>
            </w:r>
          </w:p>
        </w:tc>
        <w:tc>
          <w:tcPr>
            <w:tcW w:w="7958" w:type="dxa"/>
            <w:tcBorders>
              <w:top w:val="single" w:color="auto" w:sz="4" w:space="0"/>
              <w:left w:val="single" w:color="auto" w:sz="4" w:space="0"/>
              <w:bottom w:val="single" w:color="auto" w:sz="4" w:space="0"/>
              <w:right w:val="single" w:color="auto" w:sz="4" w:space="0"/>
            </w:tcBorders>
            <w:vAlign w:val="center"/>
          </w:tcPr>
          <w:p w14:paraId="062E3863">
            <w:pPr>
              <w:spacing w:beforeLines="50" w:afterLines="50" w:line="360" w:lineRule="auto"/>
              <w:ind w:firstLine="33" w:firstLineChars="14"/>
              <w:rPr>
                <w:rFonts w:asciiTheme="minorEastAsia" w:hAnsiTheme="minorEastAsia" w:eastAsiaTheme="minorEastAsia"/>
              </w:rPr>
            </w:pPr>
            <w:r>
              <w:rPr>
                <w:rFonts w:hint="eastAsia" w:asciiTheme="minorEastAsia" w:hAnsiTheme="minorEastAsia" w:eastAsiaTheme="minorEastAsia"/>
              </w:rPr>
              <w:t>1、合格验收：当熟石灰含量达到90%以上且粒度通过率（325目）达到95%，甲方作为合格物料予以验收结算。</w:t>
            </w:r>
          </w:p>
          <w:p w14:paraId="35A536BA">
            <w:pPr>
              <w:spacing w:beforeLines="50" w:afterLines="50" w:line="360" w:lineRule="auto"/>
              <w:ind w:firstLine="33" w:firstLineChars="14"/>
              <w:rPr>
                <w:rFonts w:ascii="宋体" w:hAnsi="宋体" w:eastAsia="宋体"/>
              </w:rPr>
            </w:pPr>
            <w:r>
              <w:rPr>
                <w:rFonts w:hint="eastAsia" w:asciiTheme="minorEastAsia" w:hAnsiTheme="minorEastAsia" w:eastAsiaTheme="minorEastAsia"/>
              </w:rPr>
              <w:t>2、区间验收折价结算：当熟石灰含量在85%（含）到90%（不含）之间，且熟石灰粒度通过率（325目）在90%（含）到95%（不含）之间，</w:t>
            </w:r>
            <w:r>
              <w:rPr>
                <w:rFonts w:hint="eastAsia" w:ascii="宋体" w:hAnsi="宋体" w:eastAsia="宋体"/>
              </w:rPr>
              <w:t>甲方应对货物验收并通知乙方。</w:t>
            </w:r>
          </w:p>
          <w:p w14:paraId="05949087">
            <w:pPr>
              <w:spacing w:beforeLines="50" w:afterLines="50" w:line="360" w:lineRule="auto"/>
              <w:ind w:firstLine="33" w:firstLineChars="14"/>
              <w:rPr>
                <w:rFonts w:ascii="宋体" w:hAnsi="宋体" w:eastAsia="宋体"/>
              </w:rPr>
            </w:pPr>
            <w:r>
              <w:rPr>
                <w:rFonts w:hint="eastAsia" w:ascii="宋体" w:hAnsi="宋体" w:eastAsia="宋体"/>
              </w:rPr>
              <w:t>结算：</w:t>
            </w:r>
          </w:p>
          <w:p w14:paraId="5A497DD3">
            <w:pPr>
              <w:spacing w:beforeLines="50" w:afterLines="50" w:line="360" w:lineRule="auto"/>
              <w:ind w:firstLine="33" w:firstLineChars="14"/>
              <w:rPr>
                <w:rFonts w:ascii="宋体" w:hAnsi="宋体" w:eastAsia="宋体"/>
              </w:rPr>
            </w:pPr>
            <w:r>
              <w:rPr>
                <w:rFonts w:hint="eastAsia" w:ascii="宋体" w:hAnsi="宋体" w:eastAsia="宋体"/>
              </w:rPr>
              <w:t>89%＜Ca(OH)2＜90% ,该车次熟石灰单价按合同单价下调2%计算。</w:t>
            </w:r>
          </w:p>
          <w:p w14:paraId="7269CADE">
            <w:pPr>
              <w:spacing w:beforeLines="50" w:afterLines="50" w:line="360" w:lineRule="auto"/>
              <w:ind w:firstLine="33" w:firstLineChars="14"/>
              <w:rPr>
                <w:rFonts w:ascii="宋体" w:hAnsi="宋体" w:eastAsia="宋体"/>
              </w:rPr>
            </w:pPr>
            <w:r>
              <w:rPr>
                <w:rFonts w:hint="eastAsia" w:ascii="宋体" w:hAnsi="宋体" w:eastAsia="宋体"/>
              </w:rPr>
              <w:t>88%＜Ca(OH)2＜89% ,该车次熟石灰单价按合同单价下调5%计算。</w:t>
            </w:r>
          </w:p>
          <w:p w14:paraId="4BA7A500">
            <w:pPr>
              <w:spacing w:beforeLines="50" w:afterLines="50" w:line="360" w:lineRule="auto"/>
              <w:ind w:firstLine="33" w:firstLineChars="14"/>
              <w:rPr>
                <w:rFonts w:ascii="宋体" w:hAnsi="宋体" w:eastAsia="宋体"/>
              </w:rPr>
            </w:pPr>
            <w:r>
              <w:rPr>
                <w:rFonts w:hint="eastAsia" w:ascii="宋体" w:hAnsi="宋体" w:eastAsia="宋体"/>
              </w:rPr>
              <w:t>87%＜Ca(OH)2＜88% ,该车次熟石灰单价按合同单价下调10%计算。</w:t>
            </w:r>
          </w:p>
          <w:p w14:paraId="519BE0FB">
            <w:pPr>
              <w:spacing w:beforeLines="50" w:afterLines="50" w:line="360" w:lineRule="auto"/>
              <w:ind w:firstLine="33" w:firstLineChars="14"/>
              <w:rPr>
                <w:rFonts w:ascii="宋体" w:hAnsi="宋体" w:eastAsia="宋体"/>
              </w:rPr>
            </w:pPr>
            <w:r>
              <w:rPr>
                <w:rFonts w:hint="eastAsia" w:ascii="宋体" w:hAnsi="宋体" w:eastAsia="宋体"/>
              </w:rPr>
              <w:t>86%＜Ca(OH)2＜87% ,该车次熟石灰单价按合同单价下调15%计算。</w:t>
            </w:r>
          </w:p>
          <w:p w14:paraId="1B69B3B4">
            <w:pPr>
              <w:spacing w:beforeLines="50" w:afterLines="50" w:line="360" w:lineRule="auto"/>
              <w:ind w:firstLine="33" w:firstLineChars="14"/>
              <w:rPr>
                <w:rFonts w:ascii="宋体" w:hAnsi="宋体" w:eastAsia="宋体"/>
              </w:rPr>
            </w:pPr>
            <w:r>
              <w:rPr>
                <w:rFonts w:hint="eastAsia" w:ascii="宋体" w:hAnsi="宋体" w:eastAsia="宋体"/>
              </w:rPr>
              <w:t>85%＜Ca(OH)2＜86% ,该车次熟石灰单价按合同单价下调20%计算。</w:t>
            </w:r>
          </w:p>
          <w:p w14:paraId="3BBDDC07">
            <w:pPr>
              <w:spacing w:beforeLines="50" w:afterLines="50" w:line="360" w:lineRule="auto"/>
              <w:ind w:firstLine="33" w:firstLineChars="14"/>
              <w:rPr>
                <w:rFonts w:ascii="宋体" w:hAnsi="宋体" w:eastAsia="宋体"/>
              </w:rPr>
            </w:pPr>
            <w:r>
              <w:rPr>
                <w:rFonts w:hint="eastAsia" w:ascii="宋体" w:hAnsi="宋体" w:eastAsia="宋体"/>
              </w:rPr>
              <w:t>94%＜Ca(OH)2 325目通过率＜95%，该车次熟石灰按合同单价下调1%计算</w:t>
            </w:r>
          </w:p>
          <w:p w14:paraId="471C72AB">
            <w:pPr>
              <w:spacing w:beforeLines="50" w:afterLines="50" w:line="360" w:lineRule="auto"/>
              <w:ind w:firstLine="33" w:firstLineChars="14"/>
              <w:rPr>
                <w:rFonts w:ascii="宋体" w:hAnsi="宋体" w:eastAsia="宋体"/>
              </w:rPr>
            </w:pPr>
            <w:r>
              <w:rPr>
                <w:rFonts w:hint="eastAsia" w:ascii="宋体" w:hAnsi="宋体" w:eastAsia="宋体"/>
              </w:rPr>
              <w:t>93%＜Ca(OH)2 325目通过率＜94%，该车次熟石灰按合同单价下调3%计算</w:t>
            </w:r>
          </w:p>
          <w:p w14:paraId="0033BB28">
            <w:pPr>
              <w:spacing w:beforeLines="50" w:afterLines="50" w:line="360" w:lineRule="auto"/>
              <w:ind w:firstLine="33" w:firstLineChars="14"/>
              <w:rPr>
                <w:rFonts w:ascii="宋体" w:hAnsi="宋体" w:eastAsia="宋体"/>
              </w:rPr>
            </w:pPr>
            <w:r>
              <w:rPr>
                <w:rFonts w:hint="eastAsia" w:ascii="宋体" w:hAnsi="宋体" w:eastAsia="宋体"/>
              </w:rPr>
              <w:t>92%＜Ca(OH)2 325目通过率＜93%，该车次熟石灰按合同单价下调5%计算</w:t>
            </w:r>
          </w:p>
          <w:p w14:paraId="6CA82A47">
            <w:pPr>
              <w:spacing w:beforeLines="50" w:afterLines="50" w:line="360" w:lineRule="auto"/>
              <w:ind w:firstLine="33" w:firstLineChars="14"/>
              <w:rPr>
                <w:rFonts w:ascii="宋体" w:hAnsi="宋体" w:eastAsia="宋体"/>
              </w:rPr>
            </w:pPr>
            <w:r>
              <w:rPr>
                <w:rFonts w:hint="eastAsia" w:ascii="宋体" w:hAnsi="宋体" w:eastAsia="宋体"/>
              </w:rPr>
              <w:t>91%＜Ca(OH)2 325目通过率＜92%，该车次熟石灰按合同单价下调7%计算</w:t>
            </w:r>
          </w:p>
          <w:p w14:paraId="12D2405D">
            <w:pPr>
              <w:spacing w:beforeLines="50" w:afterLines="50" w:line="360" w:lineRule="auto"/>
              <w:ind w:firstLine="33" w:firstLineChars="14"/>
              <w:rPr>
                <w:rFonts w:ascii="宋体" w:hAnsi="宋体" w:eastAsia="宋体"/>
              </w:rPr>
            </w:pPr>
            <w:r>
              <w:rPr>
                <w:rFonts w:hint="eastAsia" w:ascii="宋体" w:hAnsi="宋体" w:eastAsia="宋体"/>
              </w:rPr>
              <w:t>90%＜Ca(OH)2 325目通过率＜91%，该车次熟石灰按合同单价下调10%计算</w:t>
            </w:r>
          </w:p>
          <w:p w14:paraId="16E16905">
            <w:pPr>
              <w:spacing w:beforeLines="50" w:afterLines="50" w:line="360" w:lineRule="auto"/>
              <w:ind w:firstLine="33" w:firstLineChars="14"/>
              <w:rPr>
                <w:rFonts w:ascii="宋体" w:hAnsi="宋体" w:eastAsia="宋体"/>
              </w:rPr>
            </w:pPr>
            <w:r>
              <w:rPr>
                <w:rFonts w:hint="eastAsia" w:ascii="宋体" w:hAnsi="宋体" w:eastAsia="宋体"/>
              </w:rPr>
              <w:t>如出现多项指标不达标，结算扣除价格进行累加计算，直至结算单价为零，实际款项甲方可在每月结算时直接扣除。如乙方对甲方实验室的化验结果有异议，可申请第三方检测，检测费由乙方负责，最终结果以第三方检测结果为准。</w:t>
            </w:r>
          </w:p>
          <w:p w14:paraId="070FFD39">
            <w:pPr>
              <w:pStyle w:val="80"/>
              <w:spacing w:line="360" w:lineRule="auto"/>
              <w:ind w:left="0" w:leftChars="0" w:firstLine="0" w:firstLineChars="0"/>
              <w:rPr>
                <w:rFonts w:hint="eastAsia" w:asciiTheme="minorEastAsia" w:hAnsiTheme="minorEastAsia" w:eastAsiaTheme="minorEastAsia"/>
              </w:rPr>
            </w:pPr>
            <w:r>
              <w:rPr>
                <w:rFonts w:hint="eastAsia" w:ascii="宋体" w:hAnsi="宋体" w:eastAsia="宋体" w:cs="Times New Roman"/>
                <w:kern w:val="2"/>
                <w:sz w:val="24"/>
                <w:szCs w:val="20"/>
                <w:lang w:val="en-US" w:eastAsia="zh-CN" w:bidi="ar-SA"/>
              </w:rPr>
              <w:t>3、不予验收：不予验收（不合格、不结算、退货）：当Ca(OH)₂含量＜85%、细度325目过筛率＜90%，温升＞5℃（200g熟石灰与200ml水混合测试温升）、酸不溶物：指标标准≤1%。当以上记几项检测数值有一项不符合，产品皆为不合格产品，该车次不予验收结算并退货要求重新送货，甲方扣除乙方该车次货款总额的1%，一年之内产品累计超过三次，甲方有权解除合同。甲方有权拒绝收货，已接收货物不予以结算。如甲方拒绝收货，乙方必须在接到甲方通知时起五小时将等量合格货物送货到厂，逾期未到货的，甲方有权使用其产品投入生产，且改车次货物不予结算付款，乙方同时应当承担逾期交付的违约责任、供货质量不合格的违约责任并且赔偿由此给甲方造成的一切损失。</w:t>
            </w:r>
          </w:p>
        </w:tc>
      </w:tr>
    </w:tbl>
    <w:p w14:paraId="351511AD">
      <w:pPr>
        <w:rPr>
          <w:rFonts w:ascii="宋体" w:hAnsi="宋体" w:eastAsia="宋体"/>
        </w:rPr>
      </w:pPr>
    </w:p>
    <w:p w14:paraId="2BB89964">
      <w:pPr>
        <w:rPr>
          <w:rFonts w:ascii="宋体" w:hAnsi="宋体" w:eastAsia="宋体"/>
        </w:rPr>
      </w:pPr>
    </w:p>
    <w:bookmarkEnd w:id="4"/>
    <w:bookmarkEnd w:id="5"/>
    <w:bookmarkEnd w:id="6"/>
    <w:bookmarkEnd w:id="7"/>
    <w:bookmarkEnd w:id="8"/>
    <w:bookmarkEnd w:id="9"/>
    <w:bookmarkEnd w:id="10"/>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186D7CC9">
      <w:pPr>
        <w:pStyle w:val="2"/>
        <w:spacing w:before="120" w:beforeLines="50" w:after="120" w:afterLines="50"/>
        <w:rPr>
          <w:rFonts w:ascii="宋体" w:hAnsi="宋体" w:eastAsia="宋体"/>
          <w:lang w:val="zh-CN"/>
        </w:rPr>
      </w:pPr>
      <w:bookmarkStart w:id="13" w:name="_Toc91073208"/>
      <w:r>
        <w:rPr>
          <w:rFonts w:hint="eastAsia" w:ascii="宋体" w:hAnsi="宋体" w:eastAsia="宋体"/>
          <w:b w:val="0"/>
          <w:color w:val="000000"/>
          <w:sz w:val="32"/>
          <w:szCs w:val="32"/>
        </w:rPr>
        <w:t>三 投标文件格式</w:t>
      </w:r>
      <w:bookmarkEnd w:id="13"/>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熟石灰</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LK-MMLK-ZB-JC2026-005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日期：2026年  月   日</w:t>
      </w:r>
      <w:bookmarkStart w:id="14" w:name="_Toc456800138"/>
      <w:bookmarkStart w:id="15" w:name="_Toc456799797"/>
      <w:bookmarkStart w:id="16" w:name="_Toc456800244"/>
      <w:bookmarkStart w:id="17" w:name="_Toc456799689"/>
      <w:bookmarkStart w:id="18" w:name="_Toc456799949"/>
      <w:bookmarkStart w:id="19" w:name="_Toc456800087"/>
      <w:bookmarkStart w:id="20" w:name="_Toc456800168"/>
    </w:p>
    <w:p w14:paraId="09FF336D">
      <w:pPr>
        <w:spacing w:line="360" w:lineRule="auto"/>
        <w:jc w:val="center"/>
        <w:rPr>
          <w:rFonts w:ascii="宋体" w:hAnsi="宋体" w:eastAsia="宋体" w:cs="Arial"/>
          <w:bCs/>
          <w:sz w:val="28"/>
          <w:szCs w:val="28"/>
          <w:lang w:val="zh-CN"/>
        </w:rPr>
      </w:pPr>
    </w:p>
    <w:p w14:paraId="75D29EF8">
      <w:pPr>
        <w:spacing w:line="360" w:lineRule="auto"/>
        <w:jc w:val="center"/>
        <w:rPr>
          <w:rFonts w:hint="eastAsia" w:ascii="宋体" w:hAnsi="宋体" w:eastAsia="宋体" w:cs="Arial"/>
          <w:bCs/>
          <w:sz w:val="28"/>
          <w:szCs w:val="28"/>
          <w:lang w:val="zh-CN"/>
        </w:rPr>
      </w:pPr>
    </w:p>
    <w:p w14:paraId="237A4030">
      <w:pPr>
        <w:spacing w:line="360" w:lineRule="auto"/>
        <w:jc w:val="center"/>
        <w:rPr>
          <w:rFonts w:hint="eastAsia"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14"/>
      <w:bookmarkEnd w:id="15"/>
      <w:bookmarkEnd w:id="16"/>
      <w:bookmarkEnd w:id="17"/>
      <w:bookmarkEnd w:id="18"/>
      <w:bookmarkEnd w:id="19"/>
      <w:bookmarkEnd w:id="20"/>
      <w:bookmarkStart w:id="21" w:name="_Toc176085638"/>
      <w:bookmarkStart w:id="22" w:name="_Toc174521069"/>
    </w:p>
    <w:p w14:paraId="61C01CC6">
      <w:pPr>
        <w:tabs>
          <w:tab w:val="left" w:pos="3906"/>
        </w:tabs>
        <w:spacing w:before="120" w:beforeLines="50" w:after="120" w:afterLines="50"/>
        <w:outlineLvl w:val="1"/>
        <w:rPr>
          <w:rFonts w:ascii="宋体" w:hAnsi="宋体" w:eastAsia="宋体"/>
          <w:szCs w:val="24"/>
        </w:rPr>
      </w:pPr>
      <w:bookmarkStart w:id="23" w:name="_Toc456799798"/>
      <w:bookmarkStart w:id="24" w:name="_Toc456800169"/>
      <w:bookmarkStart w:id="25" w:name="_Toc91073209"/>
      <w:bookmarkStart w:id="26" w:name="_Toc456799690"/>
      <w:bookmarkStart w:id="27" w:name="_Toc456800245"/>
      <w:bookmarkStart w:id="28" w:name="_Toc456800139"/>
      <w:bookmarkStart w:id="29" w:name="_Toc456800088"/>
      <w:bookmarkStart w:id="30" w:name="_Toc456799950"/>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1"/>
      <w:bookmarkEnd w:id="22"/>
      <w:bookmarkEnd w:id="23"/>
      <w:bookmarkEnd w:id="24"/>
      <w:bookmarkEnd w:id="25"/>
      <w:bookmarkEnd w:id="26"/>
      <w:bookmarkEnd w:id="27"/>
      <w:bookmarkEnd w:id="28"/>
      <w:bookmarkEnd w:id="29"/>
      <w:bookmarkEnd w:id="30"/>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31" w:name="_Toc174521070"/>
      <w:bookmarkStart w:id="32" w:name="_Toc176085639"/>
      <w:bookmarkStart w:id="33" w:name="_Toc456800140"/>
      <w:bookmarkStart w:id="34" w:name="_Toc91073210"/>
      <w:bookmarkStart w:id="35" w:name="_Toc456799951"/>
      <w:bookmarkStart w:id="36" w:name="_Toc456799691"/>
      <w:bookmarkStart w:id="37" w:name="_Toc456800089"/>
      <w:bookmarkStart w:id="38" w:name="_Toc456800246"/>
      <w:bookmarkStart w:id="39" w:name="_Toc456800170"/>
      <w:bookmarkStart w:id="40" w:name="_Toc456799799"/>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1"/>
      <w:bookmarkEnd w:id="32"/>
      <w:r>
        <w:rPr>
          <w:rFonts w:hint="eastAsia" w:ascii="宋体" w:hAnsi="宋体" w:eastAsia="宋体"/>
          <w:szCs w:val="24"/>
        </w:rPr>
        <w:t>报价格式</w:t>
      </w:r>
      <w:bookmarkEnd w:id="33"/>
      <w:bookmarkEnd w:id="34"/>
      <w:bookmarkEnd w:id="35"/>
      <w:bookmarkEnd w:id="36"/>
      <w:bookmarkEnd w:id="37"/>
      <w:bookmarkEnd w:id="38"/>
      <w:bookmarkEnd w:id="39"/>
      <w:bookmarkEnd w:id="40"/>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41" w:name="_Toc174521072"/>
      <w:bookmarkStart w:id="42"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41"/>
      <w:bookmarkEnd w:id="42"/>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43" w:name="_Toc176085643"/>
      <w:bookmarkStart w:id="44" w:name="_Toc174521074"/>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43"/>
      <w:bookmarkEnd w:id="44"/>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45" w:name="_Toc176085644"/>
      <w:bookmarkStart w:id="46" w:name="_Toc174521075"/>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45"/>
      <w:bookmarkEnd w:id="46"/>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47" w:name="_Toc176085645"/>
      <w:bookmarkStart w:id="48" w:name="_Toc174521076"/>
      <w:bookmarkStart w:id="49" w:name="_Toc456799803"/>
      <w:bookmarkStart w:id="50" w:name="_Toc456799695"/>
      <w:bookmarkStart w:id="51" w:name="_Toc45679995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47"/>
      <w:bookmarkEnd w:id="48"/>
    </w:p>
    <w:p w14:paraId="5F877C7C">
      <w:pPr>
        <w:suppressAutoHyphens/>
        <w:spacing w:line="360" w:lineRule="auto"/>
        <w:jc w:val="center"/>
        <w:rPr>
          <w:rFonts w:ascii="宋体" w:hAnsi="宋体" w:eastAsia="宋体"/>
          <w:color w:val="000000"/>
          <w:szCs w:val="24"/>
        </w:rPr>
      </w:pPr>
      <w:bookmarkStart w:id="52" w:name="_Toc456799800"/>
      <w:bookmarkStart w:id="53" w:name="_Toc456799692"/>
      <w:bookmarkStart w:id="54" w:name="_Toc456800141"/>
      <w:bookmarkStart w:id="55" w:name="_Toc456800090"/>
      <w:bookmarkStart w:id="56" w:name="_Toc456799952"/>
      <w:bookmarkStart w:id="57" w:name="_Toc456800171"/>
      <w:r>
        <w:rPr>
          <w:rFonts w:hint="eastAsia" w:ascii="宋体" w:hAnsi="宋体" w:eastAsia="宋体"/>
          <w:color w:val="000000"/>
          <w:szCs w:val="24"/>
        </w:rPr>
        <w:t>投标函</w:t>
      </w:r>
      <w:bookmarkEnd w:id="52"/>
      <w:bookmarkEnd w:id="53"/>
      <w:bookmarkEnd w:id="54"/>
      <w:bookmarkEnd w:id="55"/>
      <w:bookmarkEnd w:id="56"/>
      <w:bookmarkEnd w:id="57"/>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2026</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2026</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58" w:name="_Toc456799953"/>
      <w:bookmarkStart w:id="59" w:name="_Toc456799693"/>
      <w:bookmarkStart w:id="60" w:name="_Toc456799801"/>
      <w:bookmarkStart w:id="61" w:name="_Toc456800091"/>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58"/>
      <w:bookmarkEnd w:id="59"/>
      <w:bookmarkEnd w:id="60"/>
      <w:bookmarkEnd w:id="61"/>
    </w:p>
    <w:p w14:paraId="5E10E18C">
      <w:pPr>
        <w:spacing w:line="360" w:lineRule="auto"/>
        <w:ind w:firstLine="525"/>
        <w:jc w:val="center"/>
        <w:rPr>
          <w:rFonts w:ascii="宋体" w:hAnsi="宋体" w:eastAsia="宋体"/>
          <w:color w:val="000000"/>
          <w:szCs w:val="24"/>
        </w:rPr>
      </w:pPr>
      <w:bookmarkStart w:id="62" w:name="_Toc456799954"/>
      <w:bookmarkStart w:id="63" w:name="_Toc456800247"/>
      <w:bookmarkStart w:id="64" w:name="_Toc456799694"/>
      <w:bookmarkStart w:id="65" w:name="_Toc456799802"/>
      <w:bookmarkStart w:id="66" w:name="_Toc456800172"/>
      <w:bookmarkStart w:id="67" w:name="_Toc456800142"/>
      <w:bookmarkStart w:id="68" w:name="_Toc456800092"/>
      <w:r>
        <w:rPr>
          <w:rFonts w:hint="eastAsia" w:ascii="宋体" w:hAnsi="宋体" w:eastAsia="宋体"/>
          <w:color w:val="000000"/>
          <w:szCs w:val="24"/>
        </w:rPr>
        <w:t>法定代表人授权书</w:t>
      </w:r>
      <w:bookmarkEnd w:id="62"/>
      <w:bookmarkEnd w:id="63"/>
      <w:bookmarkEnd w:id="64"/>
      <w:bookmarkEnd w:id="65"/>
      <w:bookmarkEnd w:id="66"/>
      <w:bookmarkEnd w:id="67"/>
      <w:bookmarkEnd w:id="68"/>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熟石灰</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2026</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熟石灰</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2026</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49"/>
      <w:bookmarkEnd w:id="50"/>
      <w:bookmarkEnd w:id="51"/>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华文中宋"/>
                <w:color w:val="000000"/>
                <w:szCs w:val="24"/>
                <w:lang w:eastAsia="zh-CN"/>
              </w:rPr>
            </w:pPr>
            <w:r>
              <w:rPr>
                <w:rFonts w:hint="eastAsia" w:ascii="宋体" w:hAnsi="宋体" w:eastAsia="宋体"/>
                <w:szCs w:val="24"/>
                <w:lang w:eastAsia="zh-CN"/>
              </w:rPr>
              <w:t>熟石</w:t>
            </w:r>
            <w:r>
              <w:rPr>
                <w:rFonts w:hint="eastAsia" w:ascii="宋体" w:hAnsi="宋体" w:eastAsia="宋体" w:cs="Times New Roman"/>
                <w:szCs w:val="24"/>
                <w:lang w:eastAsia="zh-CN"/>
              </w:rPr>
              <w:t>灰（Ca(OH)₂含量≥90%、325目过筛率≥95 %、温升≤5℃（200g熟石灰与200ml水混合测试温升）、酸不溶物：指标标准≤1%）</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5000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left"/>
              <w:rPr>
                <w:rFonts w:ascii="宋体" w:hAnsi="宋体" w:eastAsia="宋体"/>
                <w:color w:val="000000"/>
                <w:szCs w:val="24"/>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s="Times New Roman"/>
          <w:color w:val="000000"/>
          <w:szCs w:val="24"/>
        </w:rPr>
        <w:t>为乙方负责槽罐车运输和卸货。</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69" w:name="_Toc174521078"/>
      <w:bookmarkStart w:id="70" w:name="_Toc176085647"/>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hint="eastAsia" w:ascii="宋体" w:hAnsi="宋体"/>
          <w:b w:val="0"/>
          <w:bCs w:val="0"/>
          <w:sz w:val="24"/>
          <w:szCs w:val="24"/>
        </w:rPr>
      </w:pPr>
      <w:r>
        <w:rPr>
          <w:rFonts w:hint="eastAsia" w:ascii="宋体" w:hAnsi="宋体"/>
          <w:b w:val="0"/>
          <w:bCs w:val="0"/>
          <w:sz w:val="24"/>
          <w:szCs w:val="24"/>
        </w:rPr>
        <w:t>附录</w:t>
      </w:r>
      <w:r>
        <w:rPr>
          <w:rFonts w:ascii="宋体" w:hAnsi="宋体"/>
          <w:b w:val="0"/>
          <w:bCs w:val="0"/>
          <w:sz w:val="24"/>
          <w:szCs w:val="24"/>
        </w:rPr>
        <w:t>1</w:t>
      </w:r>
      <w:r>
        <w:rPr>
          <w:rFonts w:hint="eastAsia" w:ascii="宋体" w:hAnsi="宋体"/>
          <w:b w:val="0"/>
          <w:bCs w:val="0"/>
          <w:sz w:val="24"/>
          <w:szCs w:val="24"/>
        </w:rPr>
        <w:t>-5报价表</w:t>
      </w:r>
      <w:bookmarkEnd w:id="69"/>
      <w:bookmarkEnd w:id="70"/>
    </w:p>
    <w:tbl>
      <w:tblPr>
        <w:tblStyle w:val="44"/>
        <w:tblW w:w="10302"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417"/>
        <w:gridCol w:w="1913"/>
        <w:gridCol w:w="588"/>
        <w:gridCol w:w="1327"/>
        <w:gridCol w:w="1228"/>
        <w:gridCol w:w="1210"/>
        <w:gridCol w:w="1484"/>
      </w:tblGrid>
      <w:tr w14:paraId="30D3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042661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材料名称</w:t>
            </w:r>
          </w:p>
        </w:tc>
        <w:tc>
          <w:tcPr>
            <w:tcW w:w="3330" w:type="dxa"/>
            <w:gridSpan w:val="2"/>
            <w:vAlign w:val="center"/>
          </w:tcPr>
          <w:p w14:paraId="6E0905B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规格型号、技术要求</w:t>
            </w:r>
          </w:p>
        </w:tc>
        <w:tc>
          <w:tcPr>
            <w:tcW w:w="588" w:type="dxa"/>
            <w:vAlign w:val="center"/>
          </w:tcPr>
          <w:p w14:paraId="309268E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单位</w:t>
            </w:r>
          </w:p>
        </w:tc>
        <w:tc>
          <w:tcPr>
            <w:tcW w:w="1327" w:type="dxa"/>
            <w:vAlign w:val="center"/>
          </w:tcPr>
          <w:p w14:paraId="163585B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暂定数量</w:t>
            </w:r>
          </w:p>
        </w:tc>
        <w:tc>
          <w:tcPr>
            <w:tcW w:w="1228" w:type="dxa"/>
            <w:vAlign w:val="center"/>
          </w:tcPr>
          <w:p w14:paraId="62682EF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单价（元）</w:t>
            </w:r>
          </w:p>
        </w:tc>
        <w:tc>
          <w:tcPr>
            <w:tcW w:w="1210" w:type="dxa"/>
          </w:tcPr>
          <w:p w14:paraId="2BD731D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总价（元）</w:t>
            </w:r>
          </w:p>
        </w:tc>
        <w:tc>
          <w:tcPr>
            <w:tcW w:w="1484" w:type="dxa"/>
            <w:vAlign w:val="center"/>
          </w:tcPr>
          <w:p w14:paraId="3DB151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 xml:space="preserve">备注  </w:t>
            </w:r>
          </w:p>
        </w:tc>
      </w:tr>
      <w:tr w14:paraId="0337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4DA541E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 xml:space="preserve">熟石灰   </w:t>
            </w:r>
          </w:p>
        </w:tc>
        <w:tc>
          <w:tcPr>
            <w:tcW w:w="1417" w:type="dxa"/>
            <w:vAlign w:val="center"/>
          </w:tcPr>
          <w:p w14:paraId="46B8654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检测项目</w:t>
            </w:r>
          </w:p>
        </w:tc>
        <w:tc>
          <w:tcPr>
            <w:tcW w:w="1913" w:type="dxa"/>
            <w:vAlign w:val="center"/>
          </w:tcPr>
          <w:p w14:paraId="3E0679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指标</w:t>
            </w:r>
          </w:p>
        </w:tc>
        <w:tc>
          <w:tcPr>
            <w:tcW w:w="588" w:type="dxa"/>
            <w:vMerge w:val="restart"/>
            <w:vAlign w:val="center"/>
          </w:tcPr>
          <w:p w14:paraId="3717081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吨</w:t>
            </w:r>
          </w:p>
        </w:tc>
        <w:tc>
          <w:tcPr>
            <w:tcW w:w="1327" w:type="dxa"/>
            <w:vMerge w:val="restart"/>
            <w:vAlign w:val="center"/>
          </w:tcPr>
          <w:p w14:paraId="1F1CEC9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lang w:val="en-US" w:eastAsia="zh-CN"/>
              </w:rPr>
              <w:t>50</w:t>
            </w:r>
            <w:r>
              <w:rPr>
                <w:rFonts w:hint="eastAsia" w:cs="Times New Roman" w:asciiTheme="minorHAnsi" w:hAnsiTheme="minorHAnsi" w:eastAsiaTheme="minorEastAsia"/>
                <w:b w:val="0"/>
                <w:bCs w:val="0"/>
                <w:kern w:val="2"/>
                <w:sz w:val="21"/>
                <w:szCs w:val="21"/>
              </w:rPr>
              <w:t>00</w:t>
            </w:r>
          </w:p>
        </w:tc>
        <w:tc>
          <w:tcPr>
            <w:tcW w:w="1228" w:type="dxa"/>
            <w:vMerge w:val="restart"/>
            <w:vAlign w:val="center"/>
          </w:tcPr>
          <w:p w14:paraId="721E9D8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restart"/>
            <w:vAlign w:val="center"/>
          </w:tcPr>
          <w:p w14:paraId="3E1991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restart"/>
            <w:vAlign w:val="center"/>
          </w:tcPr>
          <w:p w14:paraId="71555FBA">
            <w:pPr>
              <w:pStyle w:val="38"/>
              <w:spacing w:before="0" w:beforeAutospacing="0" w:after="0" w:afterAutospacing="0" w:line="360" w:lineRule="auto"/>
              <w:rPr>
                <w:rFonts w:hint="default" w:cs="Times New Roman" w:asciiTheme="minorHAnsi" w:hAnsiTheme="minorHAnsi" w:eastAsiaTheme="minorEastAsia"/>
                <w:b w:val="0"/>
                <w:bCs w:val="0"/>
                <w:kern w:val="2"/>
                <w:sz w:val="21"/>
                <w:szCs w:val="21"/>
                <w:lang w:val="en-US" w:eastAsia="zh-CN"/>
              </w:rPr>
            </w:pPr>
          </w:p>
        </w:tc>
      </w:tr>
      <w:tr w14:paraId="5090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6B4D271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6F4AF36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Ca(OH)₂含量</w:t>
            </w:r>
          </w:p>
        </w:tc>
        <w:tc>
          <w:tcPr>
            <w:tcW w:w="1913" w:type="dxa"/>
            <w:vAlign w:val="center"/>
          </w:tcPr>
          <w:p w14:paraId="731A485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≥90%</w:t>
            </w:r>
          </w:p>
        </w:tc>
        <w:tc>
          <w:tcPr>
            <w:tcW w:w="588" w:type="dxa"/>
            <w:vMerge w:val="continue"/>
            <w:vAlign w:val="center"/>
          </w:tcPr>
          <w:p w14:paraId="4936CAC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68DDB2C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9310A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295F1FE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E04C7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1C8B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59B04B3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0017903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325目过筛率</w:t>
            </w:r>
          </w:p>
        </w:tc>
        <w:tc>
          <w:tcPr>
            <w:tcW w:w="1913" w:type="dxa"/>
            <w:vAlign w:val="center"/>
          </w:tcPr>
          <w:p w14:paraId="2DA3FF8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≥95 %</w:t>
            </w:r>
          </w:p>
        </w:tc>
        <w:tc>
          <w:tcPr>
            <w:tcW w:w="588" w:type="dxa"/>
            <w:vMerge w:val="continue"/>
            <w:vAlign w:val="center"/>
          </w:tcPr>
          <w:p w14:paraId="4807C76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24A49C7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5DB2FDF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188EB62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201745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67FA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2348549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2BAC8DD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比表面积</w:t>
            </w:r>
          </w:p>
        </w:tc>
        <w:tc>
          <w:tcPr>
            <w:tcW w:w="1913" w:type="dxa"/>
            <w:vAlign w:val="center"/>
          </w:tcPr>
          <w:p w14:paraId="6EB812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≥18m2/g</w:t>
            </w:r>
          </w:p>
        </w:tc>
        <w:tc>
          <w:tcPr>
            <w:tcW w:w="588" w:type="dxa"/>
            <w:vMerge w:val="continue"/>
            <w:vAlign w:val="center"/>
          </w:tcPr>
          <w:p w14:paraId="4CBA8E1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6A0B39D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35537E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1E029BA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7A26FC7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2353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473B6A0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4D9A99A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CaCO3</w:t>
            </w:r>
          </w:p>
        </w:tc>
        <w:tc>
          <w:tcPr>
            <w:tcW w:w="1913" w:type="dxa"/>
            <w:vAlign w:val="center"/>
          </w:tcPr>
          <w:p w14:paraId="2B464B9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＜5%</w:t>
            </w:r>
          </w:p>
        </w:tc>
        <w:tc>
          <w:tcPr>
            <w:tcW w:w="588" w:type="dxa"/>
            <w:vMerge w:val="continue"/>
            <w:vAlign w:val="center"/>
          </w:tcPr>
          <w:p w14:paraId="2967CA61">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35DE257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47DB5C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56E2707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38069B8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69F6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3C27157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1CF639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CaSO4</w:t>
            </w:r>
          </w:p>
        </w:tc>
        <w:tc>
          <w:tcPr>
            <w:tcW w:w="1913" w:type="dxa"/>
            <w:vAlign w:val="center"/>
          </w:tcPr>
          <w:p w14:paraId="10E197E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＜0.2%</w:t>
            </w:r>
          </w:p>
        </w:tc>
        <w:tc>
          <w:tcPr>
            <w:tcW w:w="588" w:type="dxa"/>
            <w:vMerge w:val="continue"/>
            <w:vAlign w:val="center"/>
          </w:tcPr>
          <w:p w14:paraId="0A81248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4ECA1C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0BD519B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6ACCD30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2CB808F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0D9B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F37E4F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39B9AFB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SiO2</w:t>
            </w:r>
          </w:p>
        </w:tc>
        <w:tc>
          <w:tcPr>
            <w:tcW w:w="1913" w:type="dxa"/>
            <w:vAlign w:val="center"/>
          </w:tcPr>
          <w:p w14:paraId="411FAC5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78F1312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3017403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AD76AE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733A09E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DDC05AB">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1E90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A908D4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7A3EDF9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Fe2O3</w:t>
            </w:r>
          </w:p>
        </w:tc>
        <w:tc>
          <w:tcPr>
            <w:tcW w:w="1913" w:type="dxa"/>
            <w:vAlign w:val="center"/>
          </w:tcPr>
          <w:p w14:paraId="260F0E3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＜0.5%</w:t>
            </w:r>
          </w:p>
        </w:tc>
        <w:tc>
          <w:tcPr>
            <w:tcW w:w="588" w:type="dxa"/>
            <w:vMerge w:val="continue"/>
            <w:vAlign w:val="center"/>
          </w:tcPr>
          <w:p w14:paraId="26B87E1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0C85634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EFE8AD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05CCF69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07DE844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3E69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135" w:type="dxa"/>
            <w:vMerge w:val="continue"/>
            <w:vAlign w:val="center"/>
          </w:tcPr>
          <w:p w14:paraId="4FF5881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3D35123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水分</w:t>
            </w:r>
          </w:p>
        </w:tc>
        <w:tc>
          <w:tcPr>
            <w:tcW w:w="1913" w:type="dxa"/>
            <w:vAlign w:val="center"/>
          </w:tcPr>
          <w:p w14:paraId="436402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0C787BB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5B223A7A">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75EEB59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6268605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5AFF1C7F">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2799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667F84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4283D80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干燥减重</w:t>
            </w:r>
          </w:p>
        </w:tc>
        <w:tc>
          <w:tcPr>
            <w:tcW w:w="1913" w:type="dxa"/>
            <w:vAlign w:val="center"/>
          </w:tcPr>
          <w:p w14:paraId="62C918D6">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3EE32ED0">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141F306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1D79A2B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5A700944">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4DF3B6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5D02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30CAF985">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17" w:type="dxa"/>
            <w:vAlign w:val="center"/>
          </w:tcPr>
          <w:p w14:paraId="741DF27D">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酸不溶物</w:t>
            </w:r>
          </w:p>
        </w:tc>
        <w:tc>
          <w:tcPr>
            <w:tcW w:w="1913" w:type="dxa"/>
            <w:vAlign w:val="center"/>
          </w:tcPr>
          <w:p w14:paraId="3E5DC9A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≤1%</w:t>
            </w:r>
          </w:p>
        </w:tc>
        <w:tc>
          <w:tcPr>
            <w:tcW w:w="588" w:type="dxa"/>
            <w:vMerge w:val="continue"/>
            <w:vAlign w:val="center"/>
          </w:tcPr>
          <w:p w14:paraId="0601F56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327" w:type="dxa"/>
            <w:vMerge w:val="continue"/>
            <w:vAlign w:val="center"/>
          </w:tcPr>
          <w:p w14:paraId="5D43B162">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28" w:type="dxa"/>
            <w:vMerge w:val="continue"/>
          </w:tcPr>
          <w:p w14:paraId="38B3046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210" w:type="dxa"/>
            <w:vMerge w:val="continue"/>
          </w:tcPr>
          <w:p w14:paraId="2FACF273">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1484" w:type="dxa"/>
            <w:vMerge w:val="continue"/>
            <w:vAlign w:val="center"/>
          </w:tcPr>
          <w:p w14:paraId="74625C9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r>
      <w:tr w14:paraId="743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A4F61BC">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p>
        </w:tc>
        <w:tc>
          <w:tcPr>
            <w:tcW w:w="9167" w:type="dxa"/>
            <w:gridSpan w:val="7"/>
          </w:tcPr>
          <w:p w14:paraId="22BC070E">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温升≤5℃（200g熟石灰与200ml水混合测试温升）、酸不溶物：指标标准≤1%。</w:t>
            </w:r>
          </w:p>
        </w:tc>
      </w:tr>
    </w:tbl>
    <w:p w14:paraId="067F838F">
      <w:pPr>
        <w:rPr>
          <w:rFonts w:hint="eastAsia"/>
          <w:b w:val="0"/>
          <w:bCs w:val="0"/>
        </w:rPr>
      </w:pPr>
    </w:p>
    <w:p w14:paraId="1F39625D">
      <w:pPr>
        <w:rPr>
          <w:b w:val="0"/>
          <w:bCs w:val="0"/>
        </w:rPr>
      </w:pPr>
    </w:p>
    <w:p w14:paraId="1FEE22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乙方负责槽罐车运输和卸货、开具13%增值税专用发票。暂定数量</w:t>
      </w:r>
      <w:r>
        <w:rPr>
          <w:rFonts w:hint="eastAsia" w:cs="Times New Roman" w:asciiTheme="minorHAnsi" w:hAnsiTheme="minorHAnsi" w:eastAsiaTheme="minorEastAsia"/>
          <w:b w:val="0"/>
          <w:bCs w:val="0"/>
          <w:kern w:val="2"/>
          <w:sz w:val="21"/>
          <w:szCs w:val="21"/>
          <w:lang w:val="en-US" w:eastAsia="zh-CN"/>
        </w:rPr>
        <w:t>50</w:t>
      </w:r>
      <w:r>
        <w:rPr>
          <w:rFonts w:hint="eastAsia" w:cs="Times New Roman" w:asciiTheme="minorHAnsi" w:hAnsiTheme="minorHAnsi" w:eastAsiaTheme="minorEastAsia"/>
          <w:b w:val="0"/>
          <w:bCs w:val="0"/>
          <w:kern w:val="2"/>
          <w:sz w:val="21"/>
          <w:szCs w:val="21"/>
        </w:rPr>
        <w:t>00吨，具体数量以甲方实际运营所需来定，甲方会根据实际运行情况提前两天通知乙方送货并告知所送货的数量。</w:t>
      </w:r>
    </w:p>
    <w:p w14:paraId="00FF015C">
      <w:pPr>
        <w:pStyle w:val="38"/>
        <w:spacing w:before="0" w:beforeAutospacing="0" w:after="0" w:afterAutospacing="0" w:line="360" w:lineRule="auto"/>
        <w:rPr>
          <w:rFonts w:hint="default" w:cs="Times New Roman" w:asciiTheme="minorHAnsi" w:hAnsiTheme="minorHAnsi" w:eastAsiaTheme="minorEastAsia"/>
          <w:b w:val="0"/>
          <w:bCs w:val="0"/>
          <w:kern w:val="2"/>
          <w:sz w:val="21"/>
          <w:szCs w:val="21"/>
          <w:lang w:val="en-US" w:eastAsia="zh-CN"/>
        </w:rPr>
      </w:pPr>
      <w:r>
        <w:rPr>
          <w:rFonts w:hint="eastAsia" w:cs="Times New Roman" w:asciiTheme="minorHAnsi" w:hAnsiTheme="minorHAnsi" w:eastAsiaTheme="minorEastAsia"/>
          <w:b w:val="0"/>
          <w:bCs w:val="0"/>
          <w:kern w:val="2"/>
          <w:sz w:val="21"/>
          <w:szCs w:val="21"/>
          <w:lang w:val="en-US" w:eastAsia="zh-CN"/>
        </w:rPr>
        <w:t>报价基于煤炭单价      元/吨      石头      元/吨</w:t>
      </w:r>
    </w:p>
    <w:p w14:paraId="5C0B9A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付款方式：每月21号统计上月21-本月20日实际交货的数量（经甲方验收合格），通知乙方开票、实际付款时间为甲方收到乙方发票后</w:t>
      </w:r>
      <w:r>
        <w:rPr>
          <w:rFonts w:hint="eastAsia" w:cs="Times New Roman" w:asciiTheme="minorHAnsi" w:hAnsiTheme="minorHAnsi" w:eastAsiaTheme="minorEastAsia"/>
          <w:b w:val="0"/>
          <w:bCs w:val="0"/>
          <w:kern w:val="2"/>
          <w:sz w:val="21"/>
          <w:szCs w:val="21"/>
          <w:lang w:val="en-US" w:eastAsia="zh-CN"/>
        </w:rPr>
        <w:t>60</w:t>
      </w:r>
      <w:r>
        <w:rPr>
          <w:rFonts w:hint="eastAsia" w:cs="Times New Roman" w:asciiTheme="minorHAnsi" w:hAnsiTheme="minorHAnsi" w:eastAsiaTheme="minorEastAsia"/>
          <w:b w:val="0"/>
          <w:bCs w:val="0"/>
          <w:kern w:val="2"/>
          <w:sz w:val="21"/>
          <w:szCs w:val="21"/>
        </w:rPr>
        <w:t>天左右付款。</w:t>
      </w:r>
    </w:p>
    <w:p w14:paraId="20DC50F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交货地点：广东省茂名高州市金山工业区高州绿能环保发电项目</w:t>
      </w:r>
    </w:p>
    <w:p w14:paraId="3A688F4D">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交货时间：2026-6-26到2026-6-20。</w:t>
      </w:r>
    </w:p>
    <w:p w14:paraId="4514B1F3">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p>
    <w:p w14:paraId="20C4B282">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71" w:name="_Toc456799956"/>
      <w:bookmarkStart w:id="72" w:name="_Toc176085649"/>
      <w:bookmarkStart w:id="73" w:name="_Toc456799804"/>
      <w:bookmarkStart w:id="74"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71"/>
      <w:bookmarkEnd w:id="72"/>
      <w:bookmarkEnd w:id="73"/>
      <w:bookmarkEnd w:id="74"/>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75" w:name="_Toc174521077"/>
      <w:bookmarkStart w:id="76" w:name="_Toc176085646"/>
      <w:r>
        <w:rPr>
          <w:rFonts w:hint="eastAsia" w:ascii="宋体" w:hAnsi="宋体" w:eastAsia="宋体"/>
          <w:szCs w:val="24"/>
        </w:rPr>
        <w:t>附</w:t>
      </w:r>
      <w:r>
        <w:rPr>
          <w:rFonts w:hint="eastAsia" w:ascii="宋体" w:hAnsi="宋体" w:eastAsia="宋体"/>
          <w:sz w:val="21"/>
          <w:szCs w:val="21"/>
        </w:rPr>
        <w:t>录</w:t>
      </w:r>
      <w:r>
        <w:rPr>
          <w:rFonts w:hint="eastAsia" w:ascii="宋体" w:hAnsi="宋体" w:eastAsia="宋体"/>
          <w:sz w:val="21"/>
          <w:szCs w:val="21"/>
          <w:lang w:val="en-US" w:eastAsia="zh-CN"/>
        </w:rPr>
        <w:t>1</w:t>
      </w:r>
      <w:r>
        <w:rPr>
          <w:rFonts w:ascii="宋体" w:hAnsi="宋体" w:eastAsia="宋体"/>
          <w:szCs w:val="24"/>
        </w:rPr>
        <w:t>-7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b w:val="0"/>
          <w:bCs w:val="0"/>
          <w:szCs w:val="24"/>
          <w:highlight w:val="none"/>
        </w:rPr>
      </w:pPr>
    </w:p>
    <w:p w14:paraId="2F557C85">
      <w:pPr>
        <w:ind w:left="88"/>
        <w:rPr>
          <w:rFonts w:ascii="宋体" w:hAnsi="宋体" w:eastAsia="宋体"/>
          <w:b w:val="0"/>
          <w:bCs w:val="0"/>
          <w:color w:val="000000" w:themeColor="text1"/>
          <w:szCs w:val="24"/>
          <w:highlight w:val="none"/>
        </w:rPr>
      </w:pPr>
      <w:r>
        <w:rPr>
          <w:rFonts w:ascii="宋体" w:hAnsi="宋体" w:eastAsia="宋体"/>
          <w:b w:val="0"/>
          <w:bCs w:val="0"/>
          <w:color w:val="000000" w:themeColor="text1"/>
          <w:szCs w:val="24"/>
          <w:highlight w:val="none"/>
        </w:rPr>
        <w:t>提供业绩合同证明。</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75"/>
    <w:bookmarkEnd w:id="76"/>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2A60F405">
      <w:pPr>
        <w:tabs>
          <w:tab w:val="left" w:pos="670"/>
          <w:tab w:val="center" w:pos="4252"/>
        </w:tabs>
        <w:jc w:val="center"/>
        <w:rPr>
          <w:rFonts w:hint="eastAsia" w:ascii="仿宋" w:hAnsi="仿宋" w:eastAsia="仿宋" w:cs="仿宋"/>
          <w:b/>
          <w:sz w:val="28"/>
          <w:szCs w:val="28"/>
        </w:rPr>
      </w:pPr>
      <w:r>
        <w:rPr>
          <w:rFonts w:hint="eastAsia" w:ascii="宋体" w:hAnsi="宋体" w:eastAsia="宋体"/>
          <w:sz w:val="44"/>
          <w:szCs w:val="44"/>
        </w:rPr>
        <w:t xml:space="preserve"> </w:t>
      </w:r>
      <w:r>
        <w:rPr>
          <w:rFonts w:hint="eastAsia" w:ascii="宋体" w:hAnsi="宋体" w:eastAsia="宋体" w:cs="Times New Roman"/>
          <w:sz w:val="44"/>
          <w:szCs w:val="44"/>
        </w:rPr>
        <w:t xml:space="preserve"> 熟石灰技术文件</w:t>
      </w:r>
    </w:p>
    <w:p w14:paraId="1BB34774">
      <w:pPr>
        <w:spacing w:line="360" w:lineRule="auto"/>
        <w:jc w:val="center"/>
        <w:rPr>
          <w:rFonts w:ascii="宋体" w:hAnsi="宋体" w:eastAsia="宋体"/>
          <w:bCs/>
          <w:sz w:val="84"/>
          <w:szCs w:val="84"/>
        </w:rPr>
      </w:pP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LK-MMLK-ZB-JC2026-005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日期：2026年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7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77"/>
    </w:p>
    <w:p w14:paraId="456D1FA2">
      <w:pPr>
        <w:tabs>
          <w:tab w:val="left" w:pos="670"/>
          <w:tab w:val="center" w:pos="4252"/>
        </w:tabs>
        <w:jc w:val="center"/>
        <w:rPr>
          <w:rFonts w:hint="eastAsia" w:ascii="仿宋" w:hAnsi="仿宋" w:eastAsia="仿宋" w:cs="仿宋"/>
          <w:b/>
          <w:sz w:val="28"/>
          <w:szCs w:val="28"/>
        </w:rPr>
      </w:pPr>
    </w:p>
    <w:p w14:paraId="2044DEDB">
      <w:pPr>
        <w:snapToGrid w:val="0"/>
        <w:spacing w:line="480" w:lineRule="auto"/>
        <w:ind w:firstLine="3092" w:firstLineChars="1100"/>
        <w:rPr>
          <w:rFonts w:hint="eastAsia" w:ascii="仿宋" w:hAnsi="仿宋" w:eastAsia="仿宋" w:cs="仿宋"/>
          <w:b/>
          <w:bCs/>
          <w:sz w:val="28"/>
          <w:szCs w:val="28"/>
        </w:rPr>
      </w:pPr>
      <w:r>
        <w:rPr>
          <w:rFonts w:hint="eastAsia" w:ascii="仿宋" w:hAnsi="仿宋" w:eastAsia="仿宋" w:cs="仿宋"/>
          <w:b/>
          <w:bCs/>
          <w:sz w:val="28"/>
          <w:szCs w:val="28"/>
        </w:rPr>
        <w:t>采购数量与技术要求</w:t>
      </w:r>
    </w:p>
    <w:p w14:paraId="4A49982E">
      <w:pPr>
        <w:numPr>
          <w:ilvl w:val="0"/>
          <w:numId w:val="1"/>
        </w:numPr>
        <w:tabs>
          <w:tab w:val="left" w:pos="502"/>
          <w:tab w:val="left" w:pos="709"/>
        </w:tabs>
        <w:adjustRightInd w:val="0"/>
        <w:snapToGrid w:val="0"/>
        <w:spacing w:line="440" w:lineRule="exact"/>
        <w:rPr>
          <w:rFonts w:hint="eastAsia" w:ascii="仿宋" w:hAnsi="仿宋" w:eastAsia="仿宋" w:cs="仿宋"/>
          <w:b/>
          <w:bCs/>
          <w:sz w:val="28"/>
          <w:szCs w:val="28"/>
        </w:rPr>
      </w:pPr>
      <w:r>
        <w:rPr>
          <w:rFonts w:hint="eastAsia" w:ascii="仿宋" w:hAnsi="仿宋" w:eastAsia="仿宋" w:cs="仿宋"/>
          <w:b/>
          <w:bCs/>
          <w:sz w:val="28"/>
          <w:szCs w:val="28"/>
        </w:rPr>
        <w:t>项目概况</w:t>
      </w:r>
    </w:p>
    <w:p w14:paraId="44DA15AA">
      <w:pPr>
        <w:tabs>
          <w:tab w:val="left" w:pos="502"/>
          <w:tab w:val="left" w:pos="709"/>
        </w:tabs>
        <w:adjustRightInd w:val="0"/>
        <w:snapToGrid w:val="0"/>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项目地址一：位于广东省茂名市高州市金山工业园朗坤环保能源（茂名）有限公司。该项目配备两台日处理600吨机械炉排焚烧炉，烟气处理设计为半干法脱硫+SNCR+活性炭+布袋除尘。</w:t>
      </w:r>
    </w:p>
    <w:p w14:paraId="6B9C34F8">
      <w:pPr>
        <w:numPr>
          <w:ilvl w:val="0"/>
          <w:numId w:val="1"/>
        </w:numPr>
        <w:tabs>
          <w:tab w:val="left" w:pos="502"/>
          <w:tab w:val="left" w:pos="709"/>
        </w:tabs>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采购内容及数量</w:t>
      </w:r>
    </w:p>
    <w:p w14:paraId="5B103127">
      <w:pPr>
        <w:tabs>
          <w:tab w:val="left" w:pos="502"/>
          <w:tab w:val="left" w:pos="709"/>
        </w:tabs>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高州项目</w:t>
      </w:r>
    </w:p>
    <w:tbl>
      <w:tblPr>
        <w:tblStyle w:val="4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368"/>
        <w:gridCol w:w="3260"/>
        <w:gridCol w:w="1843"/>
      </w:tblGrid>
      <w:tr w14:paraId="0D9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1" w:type="dxa"/>
            <w:noWrap w:val="0"/>
            <w:vAlign w:val="top"/>
          </w:tcPr>
          <w:p w14:paraId="55A156D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2368" w:type="dxa"/>
            <w:noWrap w:val="0"/>
            <w:vAlign w:val="top"/>
          </w:tcPr>
          <w:p w14:paraId="1A064A20">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名称</w:t>
            </w:r>
          </w:p>
        </w:tc>
        <w:tc>
          <w:tcPr>
            <w:tcW w:w="3260" w:type="dxa"/>
            <w:noWrap w:val="0"/>
            <w:vAlign w:val="top"/>
          </w:tcPr>
          <w:p w14:paraId="4B5E1A29">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数量（吨/一年量）</w:t>
            </w:r>
          </w:p>
        </w:tc>
        <w:tc>
          <w:tcPr>
            <w:tcW w:w="1843" w:type="dxa"/>
            <w:noWrap w:val="0"/>
            <w:vAlign w:val="top"/>
          </w:tcPr>
          <w:p w14:paraId="0E31F88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14:paraId="6E6E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01" w:type="dxa"/>
            <w:noWrap w:val="0"/>
            <w:vAlign w:val="top"/>
          </w:tcPr>
          <w:p w14:paraId="32B21807">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368" w:type="dxa"/>
            <w:noWrap w:val="0"/>
            <w:vAlign w:val="top"/>
          </w:tcPr>
          <w:p w14:paraId="05655D78">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氢氧化钙</w:t>
            </w:r>
          </w:p>
        </w:tc>
        <w:tc>
          <w:tcPr>
            <w:tcW w:w="3260" w:type="dxa"/>
            <w:noWrap w:val="0"/>
            <w:vAlign w:val="top"/>
          </w:tcPr>
          <w:p w14:paraId="40416C26">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000</w:t>
            </w:r>
          </w:p>
        </w:tc>
        <w:tc>
          <w:tcPr>
            <w:tcW w:w="1843" w:type="dxa"/>
            <w:noWrap w:val="0"/>
            <w:vAlign w:val="top"/>
          </w:tcPr>
          <w:p w14:paraId="1CA39CD0">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暂定数量</w:t>
            </w:r>
          </w:p>
        </w:tc>
      </w:tr>
    </w:tbl>
    <w:p w14:paraId="153EA576">
      <w:pPr>
        <w:adjustRightInd w:val="0"/>
        <w:snapToGrid w:val="0"/>
        <w:spacing w:line="360" w:lineRule="auto"/>
        <w:rPr>
          <w:rFonts w:hint="eastAsia" w:ascii="仿宋" w:hAnsi="仿宋" w:eastAsia="仿宋" w:cs="仿宋"/>
          <w:b/>
          <w:bCs/>
          <w:sz w:val="28"/>
          <w:szCs w:val="28"/>
        </w:rPr>
      </w:pPr>
    </w:p>
    <w:p w14:paraId="57A021E9">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3、技术要求</w:t>
      </w:r>
    </w:p>
    <w:p w14:paraId="4025037F">
      <w:pPr>
        <w:pStyle w:val="80"/>
        <w:spacing w:line="220" w:lineRule="atLeast"/>
        <w:ind w:firstLine="0" w:firstLineChars="0"/>
        <w:rPr>
          <w:rFonts w:hint="eastAsia" w:ascii="仿宋" w:hAnsi="仿宋" w:eastAsia="仿宋" w:cs="仿宋"/>
          <w:b/>
          <w:sz w:val="28"/>
          <w:szCs w:val="28"/>
        </w:rPr>
      </w:pPr>
      <w:r>
        <w:rPr>
          <w:rFonts w:hint="eastAsia" w:ascii="仿宋" w:hAnsi="仿宋" w:eastAsia="仿宋" w:cs="仿宋"/>
          <w:b/>
          <w:sz w:val="28"/>
          <w:szCs w:val="28"/>
        </w:rPr>
        <w:t>3.2氢氧化钙</w:t>
      </w:r>
    </w:p>
    <w:p w14:paraId="1F7EB684">
      <w:pPr>
        <w:pStyle w:val="80"/>
        <w:spacing w:line="220" w:lineRule="atLeast"/>
        <w:ind w:firstLine="0" w:firstLineChars="0"/>
        <w:rPr>
          <w:rFonts w:hint="eastAsia" w:ascii="仿宋" w:hAnsi="仿宋" w:eastAsia="仿宋" w:cs="仿宋"/>
          <w:sz w:val="28"/>
          <w:szCs w:val="28"/>
        </w:rPr>
      </w:pPr>
      <w:r>
        <w:rPr>
          <w:rFonts w:hint="eastAsia" w:ascii="仿宋" w:hAnsi="仿宋" w:eastAsia="仿宋" w:cs="仿宋"/>
          <w:sz w:val="28"/>
          <w:szCs w:val="28"/>
        </w:rPr>
        <w:t>一）氢氧化钙技术指标（表二）</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95"/>
        <w:gridCol w:w="2295"/>
        <w:gridCol w:w="2131"/>
      </w:tblGrid>
      <w:tr w14:paraId="7A50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D33B0B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序号</w:t>
            </w:r>
          </w:p>
        </w:tc>
        <w:tc>
          <w:tcPr>
            <w:tcW w:w="2995" w:type="dxa"/>
            <w:noWrap w:val="0"/>
            <w:vAlign w:val="top"/>
          </w:tcPr>
          <w:p w14:paraId="685444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项目</w:t>
            </w:r>
          </w:p>
        </w:tc>
        <w:tc>
          <w:tcPr>
            <w:tcW w:w="2295" w:type="dxa"/>
            <w:noWrap w:val="0"/>
            <w:vAlign w:val="top"/>
          </w:tcPr>
          <w:p w14:paraId="786A1C2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指标</w:t>
            </w:r>
          </w:p>
        </w:tc>
        <w:tc>
          <w:tcPr>
            <w:tcW w:w="2131" w:type="dxa"/>
            <w:noWrap w:val="0"/>
            <w:vAlign w:val="top"/>
          </w:tcPr>
          <w:p w14:paraId="1EF8047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备注</w:t>
            </w:r>
          </w:p>
        </w:tc>
      </w:tr>
      <w:tr w14:paraId="132B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013F7A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995" w:type="dxa"/>
            <w:noWrap w:val="0"/>
            <w:vAlign w:val="top"/>
          </w:tcPr>
          <w:p w14:paraId="3C80EE7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纯度</w:t>
            </w:r>
          </w:p>
        </w:tc>
        <w:tc>
          <w:tcPr>
            <w:tcW w:w="2295" w:type="dxa"/>
            <w:noWrap w:val="0"/>
            <w:vAlign w:val="top"/>
          </w:tcPr>
          <w:p w14:paraId="58BAAC34">
            <w:pPr>
              <w:tabs>
                <w:tab w:val="left" w:pos="555"/>
                <w:tab w:val="center" w:pos="1039"/>
              </w:tabs>
              <w:spacing w:line="220" w:lineRule="atLeast"/>
              <w:jc w:val="left"/>
              <w:rPr>
                <w:rFonts w:hint="eastAsia" w:ascii="仿宋" w:hAnsi="仿宋" w:eastAsia="仿宋" w:cs="仿宋"/>
                <w:sz w:val="28"/>
                <w:szCs w:val="28"/>
              </w:rPr>
            </w:pPr>
            <w:r>
              <w:rPr>
                <w:rFonts w:ascii="仿宋" w:hAnsi="仿宋" w:eastAsia="仿宋" w:cs="仿宋"/>
                <w:sz w:val="28"/>
                <w:szCs w:val="28"/>
              </w:rPr>
              <w:tab/>
            </w:r>
            <w:r>
              <w:rPr>
                <w:rFonts w:ascii="仿宋" w:hAnsi="仿宋" w:eastAsia="仿宋" w:cs="仿宋"/>
                <w:sz w:val="28"/>
                <w:szCs w:val="28"/>
              </w:rPr>
              <w:tab/>
            </w:r>
            <w:r>
              <w:rPr>
                <w:rFonts w:hint="eastAsia" w:ascii="仿宋" w:hAnsi="仿宋" w:eastAsia="仿宋" w:cs="仿宋"/>
                <w:sz w:val="28"/>
                <w:szCs w:val="28"/>
              </w:rPr>
              <w:t>＞90%</w:t>
            </w:r>
          </w:p>
        </w:tc>
        <w:tc>
          <w:tcPr>
            <w:tcW w:w="2131" w:type="dxa"/>
            <w:noWrap w:val="0"/>
            <w:vAlign w:val="top"/>
          </w:tcPr>
          <w:p w14:paraId="41E4CBB8">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粉状</w:t>
            </w:r>
          </w:p>
        </w:tc>
      </w:tr>
      <w:tr w14:paraId="19EC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593A697F">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*2</w:t>
            </w:r>
          </w:p>
        </w:tc>
        <w:tc>
          <w:tcPr>
            <w:tcW w:w="2995" w:type="dxa"/>
            <w:noWrap w:val="0"/>
            <w:vAlign w:val="top"/>
          </w:tcPr>
          <w:p w14:paraId="6635944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细度</w:t>
            </w:r>
          </w:p>
        </w:tc>
        <w:tc>
          <w:tcPr>
            <w:tcW w:w="2295" w:type="dxa"/>
            <w:noWrap w:val="0"/>
            <w:vAlign w:val="top"/>
          </w:tcPr>
          <w:p w14:paraId="0BEE3F5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325目</w:t>
            </w:r>
          </w:p>
        </w:tc>
        <w:tc>
          <w:tcPr>
            <w:tcW w:w="2131" w:type="dxa"/>
            <w:noWrap w:val="0"/>
            <w:vAlign w:val="top"/>
          </w:tcPr>
          <w:p w14:paraId="1239575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过筛率＞95%</w:t>
            </w:r>
          </w:p>
        </w:tc>
      </w:tr>
      <w:tr w14:paraId="47F1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9AD3D3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*3</w:t>
            </w:r>
          </w:p>
        </w:tc>
        <w:tc>
          <w:tcPr>
            <w:tcW w:w="2995" w:type="dxa"/>
            <w:noWrap w:val="0"/>
            <w:vAlign w:val="top"/>
          </w:tcPr>
          <w:p w14:paraId="3A5106F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水分</w:t>
            </w:r>
          </w:p>
        </w:tc>
        <w:tc>
          <w:tcPr>
            <w:tcW w:w="2295" w:type="dxa"/>
            <w:noWrap w:val="0"/>
            <w:vAlign w:val="top"/>
          </w:tcPr>
          <w:p w14:paraId="777E475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1F1490F3">
            <w:pPr>
              <w:spacing w:line="220" w:lineRule="atLeast"/>
              <w:rPr>
                <w:rFonts w:hint="eastAsia" w:ascii="仿宋" w:hAnsi="仿宋" w:eastAsia="仿宋" w:cs="仿宋"/>
                <w:sz w:val="28"/>
                <w:szCs w:val="28"/>
              </w:rPr>
            </w:pPr>
          </w:p>
        </w:tc>
      </w:tr>
      <w:tr w14:paraId="6C3A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7333665E">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4</w:t>
            </w:r>
          </w:p>
        </w:tc>
        <w:tc>
          <w:tcPr>
            <w:tcW w:w="2995" w:type="dxa"/>
            <w:noWrap w:val="0"/>
            <w:vAlign w:val="top"/>
          </w:tcPr>
          <w:p w14:paraId="61562DC3">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CaCO3</w:t>
            </w:r>
          </w:p>
        </w:tc>
        <w:tc>
          <w:tcPr>
            <w:tcW w:w="2295" w:type="dxa"/>
            <w:noWrap w:val="0"/>
            <w:vAlign w:val="top"/>
          </w:tcPr>
          <w:p w14:paraId="74AC5AF4">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＜5%</w:t>
            </w:r>
          </w:p>
        </w:tc>
        <w:tc>
          <w:tcPr>
            <w:tcW w:w="2131" w:type="dxa"/>
            <w:noWrap w:val="0"/>
            <w:vAlign w:val="top"/>
          </w:tcPr>
          <w:p w14:paraId="27F84B65">
            <w:pPr>
              <w:spacing w:line="220" w:lineRule="atLeast"/>
              <w:rPr>
                <w:rFonts w:hint="eastAsia" w:ascii="仿宋" w:hAnsi="仿宋" w:eastAsia="仿宋" w:cs="仿宋"/>
                <w:sz w:val="28"/>
                <w:szCs w:val="28"/>
              </w:rPr>
            </w:pPr>
          </w:p>
        </w:tc>
      </w:tr>
      <w:tr w14:paraId="5E93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4E8BACF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5</w:t>
            </w:r>
          </w:p>
        </w:tc>
        <w:tc>
          <w:tcPr>
            <w:tcW w:w="2995" w:type="dxa"/>
            <w:noWrap w:val="0"/>
            <w:vAlign w:val="top"/>
          </w:tcPr>
          <w:p w14:paraId="5E51B6E6">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CaSO</w:t>
            </w:r>
            <w:r>
              <w:rPr>
                <w:rFonts w:hint="eastAsia" w:ascii="仿宋" w:hAnsi="仿宋" w:eastAsia="仿宋" w:cs="仿宋"/>
                <w:sz w:val="28"/>
                <w:szCs w:val="28"/>
                <w:vertAlign w:val="subscript"/>
              </w:rPr>
              <w:t>4</w:t>
            </w:r>
          </w:p>
        </w:tc>
        <w:tc>
          <w:tcPr>
            <w:tcW w:w="2295" w:type="dxa"/>
            <w:noWrap w:val="0"/>
            <w:vAlign w:val="top"/>
          </w:tcPr>
          <w:p w14:paraId="0971E68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＜0.2%</w:t>
            </w:r>
          </w:p>
        </w:tc>
        <w:tc>
          <w:tcPr>
            <w:tcW w:w="2131" w:type="dxa"/>
            <w:noWrap w:val="0"/>
            <w:vAlign w:val="top"/>
          </w:tcPr>
          <w:p w14:paraId="518556D4">
            <w:pPr>
              <w:spacing w:line="220" w:lineRule="atLeast"/>
              <w:rPr>
                <w:rFonts w:hint="eastAsia" w:ascii="仿宋" w:hAnsi="仿宋" w:eastAsia="仿宋" w:cs="仿宋"/>
                <w:sz w:val="28"/>
                <w:szCs w:val="28"/>
              </w:rPr>
            </w:pPr>
          </w:p>
        </w:tc>
      </w:tr>
      <w:tr w14:paraId="3B83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4645CC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6</w:t>
            </w:r>
          </w:p>
        </w:tc>
        <w:tc>
          <w:tcPr>
            <w:tcW w:w="2995" w:type="dxa"/>
            <w:noWrap w:val="0"/>
            <w:vAlign w:val="top"/>
          </w:tcPr>
          <w:p w14:paraId="7264E4B7">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SiO</w:t>
            </w:r>
            <w:r>
              <w:rPr>
                <w:rFonts w:hint="eastAsia" w:ascii="仿宋" w:hAnsi="仿宋" w:eastAsia="仿宋" w:cs="仿宋"/>
                <w:sz w:val="28"/>
                <w:szCs w:val="28"/>
                <w:vertAlign w:val="subscript"/>
              </w:rPr>
              <w:t>2</w:t>
            </w:r>
          </w:p>
        </w:tc>
        <w:tc>
          <w:tcPr>
            <w:tcW w:w="2295" w:type="dxa"/>
            <w:noWrap w:val="0"/>
            <w:vAlign w:val="top"/>
          </w:tcPr>
          <w:p w14:paraId="3FF6365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45030EB7">
            <w:pPr>
              <w:spacing w:line="220" w:lineRule="atLeast"/>
              <w:rPr>
                <w:rFonts w:hint="eastAsia" w:ascii="仿宋" w:hAnsi="仿宋" w:eastAsia="仿宋" w:cs="仿宋"/>
                <w:sz w:val="28"/>
                <w:szCs w:val="28"/>
              </w:rPr>
            </w:pPr>
          </w:p>
        </w:tc>
      </w:tr>
      <w:tr w14:paraId="1077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EAEF18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7</w:t>
            </w:r>
          </w:p>
        </w:tc>
        <w:tc>
          <w:tcPr>
            <w:tcW w:w="2995" w:type="dxa"/>
            <w:noWrap w:val="0"/>
            <w:vAlign w:val="top"/>
          </w:tcPr>
          <w:p w14:paraId="652F34B3">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Fe</w:t>
            </w:r>
            <w:r>
              <w:rPr>
                <w:rFonts w:hint="eastAsia" w:ascii="仿宋" w:hAnsi="仿宋" w:eastAsia="仿宋" w:cs="仿宋"/>
                <w:sz w:val="28"/>
                <w:szCs w:val="28"/>
                <w:vertAlign w:val="subscript"/>
              </w:rPr>
              <w:t>2</w:t>
            </w:r>
            <w:r>
              <w:rPr>
                <w:rFonts w:hint="eastAsia" w:ascii="仿宋" w:hAnsi="仿宋" w:eastAsia="仿宋" w:cs="仿宋"/>
                <w:sz w:val="28"/>
                <w:szCs w:val="28"/>
              </w:rPr>
              <w:t>O</w:t>
            </w:r>
            <w:r>
              <w:rPr>
                <w:rFonts w:hint="eastAsia" w:ascii="仿宋" w:hAnsi="仿宋" w:eastAsia="仿宋" w:cs="仿宋"/>
                <w:sz w:val="28"/>
                <w:szCs w:val="28"/>
                <w:vertAlign w:val="subscript"/>
              </w:rPr>
              <w:t>3</w:t>
            </w:r>
          </w:p>
        </w:tc>
        <w:tc>
          <w:tcPr>
            <w:tcW w:w="2295" w:type="dxa"/>
            <w:noWrap w:val="0"/>
            <w:vAlign w:val="top"/>
          </w:tcPr>
          <w:p w14:paraId="0571723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＜0.5%</w:t>
            </w:r>
          </w:p>
        </w:tc>
        <w:tc>
          <w:tcPr>
            <w:tcW w:w="2131" w:type="dxa"/>
            <w:noWrap w:val="0"/>
            <w:vAlign w:val="top"/>
          </w:tcPr>
          <w:p w14:paraId="7889987D">
            <w:pPr>
              <w:spacing w:line="220" w:lineRule="atLeast"/>
              <w:rPr>
                <w:rFonts w:hint="eastAsia" w:ascii="仿宋" w:hAnsi="仿宋" w:eastAsia="仿宋" w:cs="仿宋"/>
                <w:sz w:val="28"/>
                <w:szCs w:val="28"/>
              </w:rPr>
            </w:pPr>
          </w:p>
        </w:tc>
      </w:tr>
      <w:tr w14:paraId="055A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4F8D041">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8</w:t>
            </w:r>
          </w:p>
        </w:tc>
        <w:tc>
          <w:tcPr>
            <w:tcW w:w="2995" w:type="dxa"/>
            <w:noWrap w:val="0"/>
            <w:vAlign w:val="top"/>
          </w:tcPr>
          <w:p w14:paraId="3FCFE1F8">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比表面积</w:t>
            </w:r>
          </w:p>
        </w:tc>
        <w:tc>
          <w:tcPr>
            <w:tcW w:w="2295" w:type="dxa"/>
            <w:noWrap w:val="0"/>
            <w:vAlign w:val="top"/>
          </w:tcPr>
          <w:p w14:paraId="166A546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＞18m</w:t>
            </w:r>
            <w:r>
              <w:rPr>
                <w:rFonts w:hint="eastAsia" w:ascii="仿宋" w:hAnsi="仿宋" w:eastAsia="仿宋" w:cs="仿宋"/>
                <w:sz w:val="28"/>
                <w:szCs w:val="28"/>
                <w:vertAlign w:val="superscript"/>
              </w:rPr>
              <w:t>2</w:t>
            </w:r>
            <w:r>
              <w:rPr>
                <w:rFonts w:hint="eastAsia" w:ascii="仿宋" w:hAnsi="仿宋" w:eastAsia="仿宋" w:cs="仿宋"/>
                <w:sz w:val="28"/>
                <w:szCs w:val="28"/>
              </w:rPr>
              <w:t>/g</w:t>
            </w:r>
          </w:p>
        </w:tc>
        <w:tc>
          <w:tcPr>
            <w:tcW w:w="2131" w:type="dxa"/>
            <w:noWrap w:val="0"/>
            <w:vAlign w:val="top"/>
          </w:tcPr>
          <w:p w14:paraId="5A308C9F">
            <w:pPr>
              <w:spacing w:line="220" w:lineRule="atLeast"/>
              <w:rPr>
                <w:rFonts w:hint="eastAsia" w:ascii="仿宋" w:hAnsi="仿宋" w:eastAsia="仿宋" w:cs="仿宋"/>
                <w:sz w:val="28"/>
                <w:szCs w:val="28"/>
              </w:rPr>
            </w:pPr>
          </w:p>
        </w:tc>
      </w:tr>
      <w:tr w14:paraId="0D87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730236E">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9</w:t>
            </w:r>
          </w:p>
        </w:tc>
        <w:tc>
          <w:tcPr>
            <w:tcW w:w="2995" w:type="dxa"/>
            <w:noWrap w:val="0"/>
            <w:vAlign w:val="top"/>
          </w:tcPr>
          <w:p w14:paraId="4A869F00">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干燥减重</w:t>
            </w:r>
          </w:p>
        </w:tc>
        <w:tc>
          <w:tcPr>
            <w:tcW w:w="2295" w:type="dxa"/>
            <w:noWrap w:val="0"/>
            <w:vAlign w:val="top"/>
          </w:tcPr>
          <w:p w14:paraId="1C0DFC2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w:t>
            </w:r>
          </w:p>
        </w:tc>
        <w:tc>
          <w:tcPr>
            <w:tcW w:w="2131" w:type="dxa"/>
            <w:noWrap w:val="0"/>
            <w:vAlign w:val="top"/>
          </w:tcPr>
          <w:p w14:paraId="23378003">
            <w:pPr>
              <w:spacing w:line="220" w:lineRule="atLeast"/>
              <w:rPr>
                <w:rFonts w:hint="eastAsia" w:ascii="仿宋" w:hAnsi="仿宋" w:eastAsia="仿宋" w:cs="仿宋"/>
                <w:sz w:val="28"/>
                <w:szCs w:val="28"/>
              </w:rPr>
            </w:pPr>
          </w:p>
        </w:tc>
      </w:tr>
      <w:tr w14:paraId="4AA7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0E2DDF52">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10</w:t>
            </w:r>
          </w:p>
        </w:tc>
        <w:tc>
          <w:tcPr>
            <w:tcW w:w="2995" w:type="dxa"/>
            <w:noWrap w:val="0"/>
            <w:vAlign w:val="top"/>
          </w:tcPr>
          <w:p w14:paraId="6810E6ED">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酸不溶物</w:t>
            </w:r>
          </w:p>
        </w:tc>
        <w:tc>
          <w:tcPr>
            <w:tcW w:w="2295" w:type="dxa"/>
            <w:noWrap w:val="0"/>
            <w:vAlign w:val="top"/>
          </w:tcPr>
          <w:p w14:paraId="497A9729">
            <w:pPr>
              <w:spacing w:line="220" w:lineRule="atLeast"/>
              <w:jc w:val="center"/>
              <w:rPr>
                <w:rFonts w:hint="eastAsia" w:ascii="仿宋" w:hAnsi="仿宋" w:eastAsia="仿宋" w:cs="仿宋"/>
                <w:sz w:val="28"/>
                <w:szCs w:val="28"/>
              </w:rPr>
            </w:pPr>
            <w:r>
              <w:rPr>
                <w:rFonts w:hint="eastAsia"/>
              </w:rPr>
              <w:t>≤</w:t>
            </w:r>
            <w:r>
              <w:t>1</w:t>
            </w:r>
            <w:r>
              <w:rPr>
                <w:rFonts w:hint="eastAsia"/>
              </w:rPr>
              <w:t>%</w:t>
            </w:r>
          </w:p>
        </w:tc>
        <w:tc>
          <w:tcPr>
            <w:tcW w:w="2131" w:type="dxa"/>
            <w:noWrap w:val="0"/>
            <w:vAlign w:val="top"/>
          </w:tcPr>
          <w:p w14:paraId="792BC019">
            <w:pPr>
              <w:spacing w:line="220" w:lineRule="atLeast"/>
              <w:rPr>
                <w:rFonts w:hint="eastAsia" w:ascii="仿宋" w:hAnsi="仿宋" w:eastAsia="仿宋" w:cs="仿宋"/>
                <w:sz w:val="28"/>
                <w:szCs w:val="28"/>
              </w:rPr>
            </w:pPr>
          </w:p>
        </w:tc>
      </w:tr>
      <w:tr w14:paraId="4046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4DA6FE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11</w:t>
            </w:r>
          </w:p>
        </w:tc>
        <w:tc>
          <w:tcPr>
            <w:tcW w:w="2995" w:type="dxa"/>
            <w:noWrap w:val="0"/>
            <w:vAlign w:val="top"/>
          </w:tcPr>
          <w:p w14:paraId="274BEED9">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200g熟石灰与200ml水混合测试温升</w:t>
            </w:r>
          </w:p>
        </w:tc>
        <w:tc>
          <w:tcPr>
            <w:tcW w:w="2295" w:type="dxa"/>
            <w:noWrap w:val="0"/>
            <w:vAlign w:val="top"/>
          </w:tcPr>
          <w:p w14:paraId="41AF800B">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温升≤5℃</w:t>
            </w:r>
          </w:p>
        </w:tc>
        <w:tc>
          <w:tcPr>
            <w:tcW w:w="2131" w:type="dxa"/>
            <w:noWrap w:val="0"/>
            <w:vAlign w:val="top"/>
          </w:tcPr>
          <w:p w14:paraId="192EE6DA">
            <w:pPr>
              <w:spacing w:line="220" w:lineRule="atLeast"/>
              <w:rPr>
                <w:rFonts w:hint="eastAsia" w:ascii="仿宋" w:hAnsi="仿宋" w:eastAsia="仿宋" w:cs="仿宋"/>
                <w:sz w:val="28"/>
                <w:szCs w:val="28"/>
              </w:rPr>
            </w:pPr>
          </w:p>
        </w:tc>
      </w:tr>
    </w:tbl>
    <w:p w14:paraId="102A5A9F">
      <w:pPr>
        <w:spacing w:line="440" w:lineRule="exact"/>
        <w:outlineLvl w:val="0"/>
        <w:rPr>
          <w:rFonts w:hint="eastAsia" w:ascii="仿宋" w:hAnsi="仿宋" w:eastAsia="仿宋" w:cs="仿宋"/>
          <w:sz w:val="28"/>
          <w:szCs w:val="28"/>
        </w:rPr>
      </w:pPr>
      <w:r>
        <w:rPr>
          <w:rFonts w:hint="eastAsia" w:ascii="仿宋" w:hAnsi="仿宋" w:eastAsia="仿宋" w:cs="仿宋"/>
          <w:color w:val="000000"/>
          <w:sz w:val="28"/>
          <w:szCs w:val="28"/>
        </w:rPr>
        <w:t>二）、</w:t>
      </w:r>
      <w:r>
        <w:rPr>
          <w:rFonts w:hint="eastAsia" w:ascii="仿宋" w:hAnsi="仿宋" w:eastAsia="仿宋" w:cs="仿宋"/>
          <w:sz w:val="28"/>
          <w:szCs w:val="28"/>
        </w:rPr>
        <w:t>运输要求</w:t>
      </w:r>
    </w:p>
    <w:p w14:paraId="58FE827B">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*必须采用罐车运输，且罐车带气体输送装置，输送装置接头应按甲方现场接头为准，如不匹配的乙方自行更改，每次送    吨左右；</w:t>
      </w:r>
    </w:p>
    <w:p w14:paraId="4BCA2817">
      <w:pPr>
        <w:spacing w:line="440" w:lineRule="exact"/>
        <w:rPr>
          <w:rFonts w:hint="eastAsia" w:ascii="仿宋" w:hAnsi="仿宋" w:eastAsia="仿宋" w:cs="仿宋"/>
          <w:sz w:val="28"/>
          <w:szCs w:val="28"/>
        </w:rPr>
      </w:pPr>
      <w:r>
        <w:rPr>
          <w:rFonts w:hint="eastAsia" w:ascii="仿宋" w:hAnsi="仿宋" w:eastAsia="仿宋" w:cs="仿宋"/>
          <w:sz w:val="28"/>
          <w:szCs w:val="28"/>
        </w:rPr>
        <w:t>三）、交货时提供的技术资料</w:t>
      </w:r>
    </w:p>
    <w:p w14:paraId="6C43D011">
      <w:pPr>
        <w:spacing w:line="440" w:lineRule="exact"/>
        <w:rPr>
          <w:rFonts w:hint="eastAsia" w:ascii="仿宋" w:hAnsi="仿宋" w:eastAsia="仿宋" w:cs="仿宋"/>
          <w:sz w:val="28"/>
          <w:szCs w:val="28"/>
        </w:rPr>
      </w:pPr>
      <w:r>
        <w:rPr>
          <w:rFonts w:hint="eastAsia" w:ascii="仿宋" w:hAnsi="仿宋" w:eastAsia="仿宋" w:cs="仿宋"/>
          <w:sz w:val="28"/>
          <w:szCs w:val="28"/>
        </w:rPr>
        <w:t>*1、材料的合格证或质保证书及出厂检验报告。</w:t>
      </w:r>
    </w:p>
    <w:p w14:paraId="19A74C66">
      <w:pPr>
        <w:spacing w:line="440" w:lineRule="exact"/>
        <w:rPr>
          <w:rFonts w:hint="eastAsia" w:ascii="仿宋" w:hAnsi="仿宋" w:eastAsia="仿宋" w:cs="仿宋"/>
          <w:sz w:val="28"/>
          <w:szCs w:val="28"/>
        </w:rPr>
      </w:pPr>
      <w:r>
        <w:rPr>
          <w:rFonts w:hint="eastAsia" w:ascii="仿宋" w:hAnsi="仿宋" w:eastAsia="仿宋" w:cs="仿宋"/>
          <w:sz w:val="28"/>
          <w:szCs w:val="28"/>
        </w:rPr>
        <w:t>四）、交货地点、交货进度</w:t>
      </w:r>
    </w:p>
    <w:p w14:paraId="2EAE9DB2">
      <w:pPr>
        <w:pStyle w:val="20"/>
        <w:spacing w:line="440" w:lineRule="exact"/>
        <w:rPr>
          <w:rFonts w:hint="eastAsia" w:ascii="仿宋" w:hAnsi="仿宋" w:eastAsia="仿宋" w:cs="仿宋"/>
          <w:sz w:val="28"/>
          <w:szCs w:val="28"/>
        </w:rPr>
      </w:pPr>
      <w:r>
        <w:rPr>
          <w:rFonts w:hint="eastAsia" w:ascii="仿宋" w:hAnsi="仿宋" w:eastAsia="仿宋" w:cs="仿宋"/>
          <w:sz w:val="28"/>
          <w:szCs w:val="28"/>
        </w:rPr>
        <w:t>1.交货地点</w:t>
      </w:r>
    </w:p>
    <w:p w14:paraId="3611F2DC">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rPr>
        <w:t>交货地点</w:t>
      </w:r>
    </w:p>
    <w:p w14:paraId="294996F2">
      <w:pPr>
        <w:pStyle w:val="20"/>
        <w:spacing w:line="440" w:lineRule="exact"/>
        <w:rPr>
          <w:rFonts w:hint="eastAsia" w:ascii="仿宋" w:hAnsi="仿宋" w:eastAsia="仿宋" w:cs="仿宋"/>
          <w:color w:val="000000"/>
          <w:position w:val="2"/>
          <w:sz w:val="28"/>
          <w:szCs w:val="28"/>
          <w:lang w:eastAsia="zh-CN"/>
        </w:rPr>
      </w:pPr>
      <w:r>
        <w:rPr>
          <w:rFonts w:hint="eastAsia" w:ascii="仿宋" w:hAnsi="仿宋" w:eastAsia="仿宋" w:cs="仿宋"/>
          <w:color w:val="000000"/>
          <w:position w:val="2"/>
          <w:sz w:val="28"/>
          <w:szCs w:val="28"/>
          <w:lang w:val="en-US" w:eastAsia="zh-CN"/>
        </w:rPr>
        <w:t>1</w:t>
      </w:r>
      <w:r>
        <w:rPr>
          <w:rFonts w:hint="eastAsia" w:ascii="仿宋" w:hAnsi="仿宋" w:eastAsia="仿宋" w:cs="仿宋"/>
          <w:color w:val="000000"/>
          <w:position w:val="2"/>
          <w:sz w:val="28"/>
          <w:szCs w:val="28"/>
        </w:rPr>
        <w:t>：</w:t>
      </w:r>
      <w:r>
        <w:rPr>
          <w:rFonts w:hint="eastAsia" w:ascii="仿宋" w:hAnsi="仿宋" w:eastAsia="仿宋" w:cs="仿宋"/>
          <w:kern w:val="2"/>
          <w:sz w:val="28"/>
          <w:szCs w:val="28"/>
          <w:lang w:val="en-US" w:eastAsia="zh-CN" w:bidi="ar-SA"/>
        </w:rPr>
        <w:t>朗坤环保能源（茂名）有限公司</w:t>
      </w:r>
      <w:r>
        <w:rPr>
          <w:rFonts w:hint="eastAsia" w:ascii="仿宋" w:hAnsi="仿宋" w:eastAsia="仿宋" w:cs="仿宋"/>
          <w:color w:val="000000"/>
          <w:position w:val="2"/>
          <w:sz w:val="28"/>
          <w:szCs w:val="28"/>
        </w:rPr>
        <w:t>。</w:t>
      </w:r>
    </w:p>
    <w:p w14:paraId="210C75E2">
      <w:pPr>
        <w:spacing w:line="440" w:lineRule="exact"/>
        <w:rPr>
          <w:rFonts w:hint="eastAsia" w:ascii="仿宋" w:hAnsi="仿宋" w:eastAsia="仿宋" w:cs="仿宋"/>
          <w:sz w:val="28"/>
          <w:szCs w:val="28"/>
        </w:rPr>
      </w:pPr>
      <w:r>
        <w:rPr>
          <w:rFonts w:hint="eastAsia" w:ascii="仿宋" w:hAnsi="仿宋" w:eastAsia="仿宋" w:cs="仿宋"/>
          <w:sz w:val="28"/>
          <w:szCs w:val="28"/>
        </w:rPr>
        <w:t>2、交货时间：</w:t>
      </w:r>
    </w:p>
    <w:p w14:paraId="393E9BA4">
      <w:pPr>
        <w:spacing w:line="440" w:lineRule="exact"/>
        <w:rPr>
          <w:rFonts w:hint="eastAsia" w:ascii="仿宋" w:hAnsi="仿宋" w:eastAsia="仿宋" w:cs="仿宋"/>
          <w:color w:val="000000"/>
          <w:spacing w:val="10"/>
          <w:sz w:val="28"/>
          <w:szCs w:val="28"/>
        </w:rPr>
      </w:pPr>
      <w:r>
        <w:rPr>
          <w:rFonts w:hint="eastAsia" w:ascii="仿宋" w:hAnsi="仿宋" w:eastAsia="仿宋" w:cs="仿宋"/>
          <w:sz w:val="28"/>
          <w:szCs w:val="28"/>
        </w:rPr>
        <w:t>* 分批送货</w:t>
      </w:r>
      <w:r>
        <w:rPr>
          <w:rFonts w:hint="eastAsia" w:ascii="仿宋" w:hAnsi="仿宋" w:eastAsia="仿宋" w:cs="仿宋"/>
          <w:color w:val="000000"/>
          <w:spacing w:val="10"/>
          <w:sz w:val="28"/>
          <w:szCs w:val="28"/>
        </w:rPr>
        <w:t>，第一批货物的送</w:t>
      </w:r>
      <w:r>
        <w:rPr>
          <w:rFonts w:hint="eastAsia" w:ascii="仿宋" w:hAnsi="仿宋" w:eastAsia="仿宋" w:cs="仿宋"/>
          <w:spacing w:val="10"/>
          <w:sz w:val="28"/>
          <w:szCs w:val="28"/>
        </w:rPr>
        <w:t>货时间为中标通知书发出后第  个日历日（甲方原因除外），具体送货时间以甲方书面通知</w:t>
      </w:r>
      <w:r>
        <w:rPr>
          <w:rFonts w:hint="eastAsia" w:ascii="仿宋" w:hAnsi="仿宋" w:eastAsia="仿宋" w:cs="仿宋"/>
          <w:color w:val="000000"/>
          <w:spacing w:val="10"/>
          <w:sz w:val="28"/>
          <w:szCs w:val="28"/>
        </w:rPr>
        <w:t>书为准，</w:t>
      </w:r>
      <w:r>
        <w:rPr>
          <w:rFonts w:hint="eastAsia" w:ascii="仿宋" w:hAnsi="仿宋" w:eastAsia="仿宋" w:cs="仿宋"/>
          <w:sz w:val="28"/>
          <w:szCs w:val="28"/>
        </w:rPr>
        <w:t>收到甲方送货通知后三天内送</w:t>
      </w:r>
      <w:r>
        <w:rPr>
          <w:rFonts w:hint="eastAsia" w:ascii="仿宋" w:hAnsi="仿宋" w:eastAsia="仿宋" w:cs="仿宋"/>
          <w:color w:val="000000"/>
          <w:spacing w:val="10"/>
          <w:sz w:val="28"/>
          <w:szCs w:val="28"/>
        </w:rPr>
        <w:t>达交货地点。</w:t>
      </w:r>
    </w:p>
    <w:p w14:paraId="3CDA842E">
      <w:pPr>
        <w:spacing w:line="440" w:lineRule="exact"/>
        <w:rPr>
          <w:rFonts w:hint="eastAsia" w:ascii="仿宋" w:hAnsi="仿宋" w:eastAsia="仿宋" w:cs="仿宋"/>
          <w:sz w:val="28"/>
          <w:szCs w:val="28"/>
        </w:rPr>
      </w:pPr>
      <w:r>
        <w:rPr>
          <w:rFonts w:hint="eastAsia" w:ascii="仿宋" w:hAnsi="仿宋" w:eastAsia="仿宋" w:cs="仿宋"/>
          <w:sz w:val="28"/>
          <w:szCs w:val="28"/>
        </w:rPr>
        <w:t>五）、验收</w:t>
      </w:r>
    </w:p>
    <w:p w14:paraId="648FCDBB">
      <w:pPr>
        <w:spacing w:line="360" w:lineRule="auto"/>
        <w:rPr>
          <w:rFonts w:hint="eastAsia" w:ascii="仿宋" w:hAnsi="仿宋" w:eastAsia="仿宋" w:cs="仿宋"/>
          <w:sz w:val="28"/>
          <w:szCs w:val="28"/>
        </w:rPr>
      </w:pPr>
      <w:r>
        <w:rPr>
          <w:rFonts w:hint="eastAsia" w:ascii="仿宋" w:hAnsi="仿宋" w:eastAsia="仿宋" w:cs="仿宋"/>
          <w:sz w:val="28"/>
          <w:szCs w:val="28"/>
        </w:rPr>
        <w:t>1、验收方式：到货后，抽取样品封存，甲乙双方各自留存共同抽取样封存的样品。甲方对产品质量提出异议的，送至双方认可的第三方检测机构进行检验出具检测报告。如检测结果不符合技术协议及国家相关标准要求，由乙方承担检测费并承担由此给甲方造成的一切损失。</w:t>
      </w:r>
    </w:p>
    <w:p w14:paraId="7F58B51E">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1．1 货物到达后，在甲方地磅房过磅，重量以过磅的结果为准。</w:t>
      </w:r>
    </w:p>
    <w:p w14:paraId="7D1E9F30">
      <w:pPr>
        <w:tabs>
          <w:tab w:val="left" w:pos="5900"/>
        </w:tabs>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1．2 货物到达后甲乙双方取样进行外观检查并封存样品，若对货物质量有异议时将样品送具有相应资质的单位进行检测。</w:t>
      </w:r>
    </w:p>
    <w:p w14:paraId="631AF49F">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2、合格标准：</w:t>
      </w:r>
    </w:p>
    <w:p w14:paraId="30E63E37">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2．1 货物出厂检测结果应全部满足表二的要求。</w:t>
      </w:r>
    </w:p>
    <w:p w14:paraId="7968B0FE">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2．2 外观检查合格。</w:t>
      </w:r>
    </w:p>
    <w:p w14:paraId="7815809B">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2．3 若有送检其检测结果应全部满足表二的要求。</w:t>
      </w:r>
      <w:r>
        <w:rPr>
          <w:rFonts w:hint="eastAsia" w:ascii="仿宋" w:hAnsi="仿宋" w:eastAsia="仿宋" w:cs="仿宋"/>
          <w:sz w:val="28"/>
          <w:szCs w:val="28"/>
        </w:rPr>
        <w:tab/>
      </w:r>
    </w:p>
    <w:p w14:paraId="16486DEC">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2．4 技术资料齐全。</w:t>
      </w:r>
    </w:p>
    <w:p w14:paraId="2F2C4489">
      <w:pPr>
        <w:spacing w:line="440" w:lineRule="exact"/>
        <w:rPr>
          <w:rFonts w:hint="eastAsia" w:ascii="仿宋" w:hAnsi="仿宋" w:eastAsia="仿宋" w:cs="仿宋"/>
          <w:sz w:val="28"/>
          <w:szCs w:val="28"/>
        </w:rPr>
      </w:pPr>
      <w:r>
        <w:rPr>
          <w:rFonts w:hint="eastAsia" w:ascii="仿宋" w:hAnsi="仿宋" w:eastAsia="仿宋" w:cs="仿宋"/>
          <w:sz w:val="28"/>
          <w:szCs w:val="28"/>
        </w:rPr>
        <w:t>六）、违约责任</w:t>
      </w:r>
    </w:p>
    <w:p w14:paraId="75AA6650">
      <w:pPr>
        <w:spacing w:line="440" w:lineRule="exact"/>
        <w:rPr>
          <w:rFonts w:hint="eastAsia" w:ascii="仿宋" w:hAnsi="仿宋" w:eastAsia="仿宋" w:cs="仿宋"/>
          <w:sz w:val="28"/>
          <w:szCs w:val="28"/>
        </w:rPr>
      </w:pPr>
      <w:r>
        <w:rPr>
          <w:rFonts w:hint="eastAsia" w:ascii="仿宋" w:hAnsi="仿宋" w:eastAsia="仿宋" w:cs="仿宋"/>
          <w:sz w:val="28"/>
          <w:szCs w:val="28"/>
        </w:rPr>
        <w:t>*1、若货物经外观检查或检测判定货物不合格，供应商应无条件更换成合格的货物，且由此发生的所有费用（含甲方的经济损失）由供应商承担。</w:t>
      </w:r>
    </w:p>
    <w:p w14:paraId="37CC559E">
      <w:pPr>
        <w:spacing w:line="440" w:lineRule="exact"/>
        <w:rPr>
          <w:rFonts w:hint="eastAsia" w:ascii="仿宋" w:hAnsi="仿宋" w:eastAsia="仿宋" w:cs="仿宋"/>
          <w:sz w:val="28"/>
          <w:szCs w:val="28"/>
        </w:rPr>
      </w:pPr>
      <w:r>
        <w:rPr>
          <w:rFonts w:hint="eastAsia" w:ascii="仿宋" w:hAnsi="仿宋" w:eastAsia="仿宋" w:cs="仿宋"/>
          <w:sz w:val="28"/>
          <w:szCs w:val="28"/>
        </w:rPr>
        <w:t>*2、若货物连续两次经外观检查或检测判定货物不合格，甲方有权单方面终止合同，且三年内不允许参加相应项目的投标。</w:t>
      </w:r>
    </w:p>
    <w:p w14:paraId="74C04B29">
      <w:pPr>
        <w:adjustRightInd w:val="0"/>
        <w:snapToGrid w:val="0"/>
        <w:spacing w:line="440" w:lineRule="exact"/>
        <w:rPr>
          <w:rFonts w:hint="eastAsia" w:ascii="仿宋" w:hAnsi="仿宋" w:eastAsia="仿宋" w:cs="仿宋"/>
          <w:sz w:val="28"/>
          <w:szCs w:val="28"/>
        </w:rPr>
      </w:pPr>
      <w:r>
        <w:rPr>
          <w:rFonts w:hint="eastAsia" w:ascii="仿宋" w:hAnsi="仿宋" w:eastAsia="仿宋" w:cs="仿宋"/>
          <w:sz w:val="28"/>
          <w:szCs w:val="28"/>
        </w:rPr>
        <w:t>*3、货物若不能在甲方要求的时间内送达且对甲方生产造成影响，应赔偿甲方由此造成的损失，若连续两次出现不能按时送货，甲方有权单方面终止合同，且三年内不允许参加相应项目的投标。</w:t>
      </w:r>
    </w:p>
    <w:p w14:paraId="7434BF58">
      <w:pPr>
        <w:pStyle w:val="2"/>
        <w:keepLines w:val="0"/>
        <w:widowControl w:val="0"/>
        <w:snapToGrid w:val="0"/>
        <w:spacing w:before="0" w:after="0" w:line="360" w:lineRule="auto"/>
        <w:jc w:val="both"/>
        <w:rPr>
          <w:rFonts w:hint="eastAsia" w:ascii="仿宋" w:hAnsi="仿宋" w:eastAsia="仿宋" w:cs="仿宋"/>
          <w:b/>
          <w:sz w:val="28"/>
          <w:szCs w:val="28"/>
        </w:rPr>
      </w:pPr>
      <w:bookmarkStart w:id="78" w:name="_Toc35342046"/>
      <w:bookmarkStart w:id="79" w:name="_Toc50864444"/>
      <w:bookmarkStart w:id="80" w:name="_Toc91392962"/>
      <w:bookmarkStart w:id="81" w:name="_Toc123786890"/>
    </w:p>
    <w:p w14:paraId="0605DC01">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r>
        <w:rPr>
          <w:rFonts w:hint="eastAsia" w:ascii="仿宋" w:hAnsi="仿宋" w:eastAsia="仿宋" w:cs="仿宋"/>
          <w:b/>
          <w:sz w:val="28"/>
          <w:szCs w:val="28"/>
        </w:rPr>
        <w:t>招标项目</w:t>
      </w:r>
      <w:bookmarkEnd w:id="78"/>
      <w:bookmarkEnd w:id="79"/>
      <w:bookmarkEnd w:id="80"/>
      <w:r>
        <w:rPr>
          <w:rFonts w:hint="eastAsia" w:ascii="仿宋" w:hAnsi="仿宋" w:eastAsia="仿宋" w:cs="仿宋"/>
          <w:b/>
          <w:sz w:val="28"/>
          <w:szCs w:val="28"/>
        </w:rPr>
        <w:t>技术要求</w:t>
      </w:r>
      <w:bookmarkEnd w:id="81"/>
    </w:p>
    <w:p w14:paraId="265E888C">
      <w:pPr>
        <w:pStyle w:val="3"/>
        <w:keepNext w:val="0"/>
        <w:keepLines w:val="0"/>
        <w:tabs>
          <w:tab w:val="left" w:pos="720"/>
        </w:tabs>
        <w:snapToGrid w:val="0"/>
        <w:spacing w:before="0" w:after="0"/>
        <w:jc w:val="both"/>
        <w:rPr>
          <w:rFonts w:hint="eastAsia" w:ascii="仿宋" w:hAnsi="仿宋" w:eastAsia="仿宋" w:cs="仿宋"/>
          <w:b w:val="0"/>
          <w:kern w:val="44"/>
          <w:szCs w:val="28"/>
        </w:rPr>
      </w:pPr>
      <w:bookmarkStart w:id="82" w:name="_Toc123786891"/>
      <w:r>
        <w:rPr>
          <w:rFonts w:hint="eastAsia" w:ascii="仿宋" w:hAnsi="仿宋" w:eastAsia="仿宋" w:cs="仿宋"/>
          <w:b w:val="0"/>
          <w:kern w:val="44"/>
          <w:szCs w:val="28"/>
        </w:rPr>
        <w:t>一、项目详细技术要求</w:t>
      </w:r>
      <w:bookmarkEnd w:id="82"/>
    </w:p>
    <w:p w14:paraId="069F4A38">
      <w:pPr>
        <w:snapToGrid w:val="0"/>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1、投标方要根据朗坤环保能源（茂名）有限公司设施工艺情况，提供有指导意义的技术方案，指导如何才能合理节约环保材料的消耗，满足我厂环保指标的达标排放。朗坤环保能源（茂名）有</w:t>
      </w:r>
      <w:r>
        <w:rPr>
          <w:rFonts w:hint="eastAsia" w:ascii="仿宋" w:hAnsi="仿宋" w:eastAsia="仿宋" w:cs="仿宋"/>
          <w:sz w:val="28"/>
          <w:szCs w:val="28"/>
        </w:rPr>
        <w:t>限公司烟气净化系统工艺如下：采用半干法+活性炭吸附+布袋除尘器+SNCR，其中活性炭系统自活性炭间至尾部烟道；干粉系统（氢氧化钙粉）自干粉间至尾部烟道；石灰制浆系统（氢氧化钙粉）从石灰浆制备间至脱酸塔；尿素自SNCR间至锅炉高温区；螯合剂与飞灰螯合后装袋。根据烟气处理其它项目参考活性炭单耗约为   吨/天，氢氧化钙单耗为   吨/天；尿素单耗约为   吨/天；螯合剂单耗约为  吨/天。</w:t>
      </w:r>
      <w:r>
        <w:rPr>
          <w:rFonts w:hint="eastAsia" w:ascii="仿宋" w:hAnsi="仿宋" w:eastAsia="仿宋" w:cs="仿宋"/>
          <w:kern w:val="44"/>
          <w:sz w:val="28"/>
          <w:szCs w:val="28"/>
        </w:rPr>
        <w:t>朗坤环保茂名</w:t>
      </w:r>
      <w:r>
        <w:rPr>
          <w:rFonts w:hint="eastAsia" w:ascii="仿宋" w:hAnsi="仿宋" w:eastAsia="仿宋" w:cs="仿宋"/>
          <w:sz w:val="28"/>
          <w:szCs w:val="28"/>
        </w:rPr>
        <w:t>项目日进场垃圾量约为    吨/天，按年运行8000小时（即330天）计算，年需消耗氢氧化钙约为6000吨；。</w:t>
      </w:r>
    </w:p>
    <w:p w14:paraId="3D3D30C9">
      <w:pPr>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2、投标方所提供环保材料要确保环保排放达到《生活垃圾焚烧污染物控制标准》GB18485-2014的要求。</w:t>
      </w:r>
    </w:p>
    <w:p w14:paraId="1BEDAE7E">
      <w:pPr>
        <w:spacing w:line="440" w:lineRule="exact"/>
        <w:rPr>
          <w:rFonts w:hint="eastAsia" w:ascii="仿宋" w:hAnsi="仿宋" w:eastAsia="仿宋" w:cs="仿宋"/>
          <w:kern w:val="44"/>
          <w:sz w:val="28"/>
          <w:szCs w:val="28"/>
          <w:lang w:val="en-US" w:eastAsia="zh-CN"/>
        </w:rPr>
      </w:pPr>
      <w:r>
        <w:rPr>
          <w:rFonts w:hint="eastAsia" w:ascii="仿宋" w:hAnsi="仿宋" w:eastAsia="仿宋" w:cs="仿宋"/>
          <w:kern w:val="44"/>
          <w:sz w:val="28"/>
          <w:szCs w:val="28"/>
          <w:lang w:val="en-US" w:eastAsia="zh-CN"/>
        </w:rPr>
        <w:t>3、投标方需提供熟石灰第三方检测报告。</w:t>
      </w:r>
    </w:p>
    <w:p w14:paraId="3CA91CCA">
      <w:pPr>
        <w:snapToGrid w:val="0"/>
        <w:spacing w:line="440" w:lineRule="exact"/>
        <w:rPr>
          <w:rFonts w:hint="eastAsia" w:ascii="仿宋" w:hAnsi="仿宋" w:eastAsia="仿宋" w:cs="仿宋"/>
          <w:kern w:val="44"/>
          <w:sz w:val="28"/>
          <w:szCs w:val="28"/>
        </w:rPr>
      </w:pPr>
    </w:p>
    <w:p w14:paraId="6F14595F">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19</w:t>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D93320"/>
    <w:multiLevelType w:val="multilevel"/>
    <w:tmpl w:val="6BD933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B14C06"/>
    <w:rsid w:val="03AF33C7"/>
    <w:rsid w:val="03FB485E"/>
    <w:rsid w:val="04235541"/>
    <w:rsid w:val="04A942BA"/>
    <w:rsid w:val="05575AC4"/>
    <w:rsid w:val="05A01219"/>
    <w:rsid w:val="05E43751"/>
    <w:rsid w:val="06467C56"/>
    <w:rsid w:val="068428E9"/>
    <w:rsid w:val="06983898"/>
    <w:rsid w:val="0728596A"/>
    <w:rsid w:val="07B02D9F"/>
    <w:rsid w:val="08C81C73"/>
    <w:rsid w:val="09A84B40"/>
    <w:rsid w:val="09BA4874"/>
    <w:rsid w:val="0A851326"/>
    <w:rsid w:val="0AC21C32"/>
    <w:rsid w:val="0B2C78C3"/>
    <w:rsid w:val="0B892750"/>
    <w:rsid w:val="0C593912"/>
    <w:rsid w:val="0CC04897"/>
    <w:rsid w:val="0DE34399"/>
    <w:rsid w:val="0E5B794D"/>
    <w:rsid w:val="0ED71A24"/>
    <w:rsid w:val="104650B3"/>
    <w:rsid w:val="11851C0B"/>
    <w:rsid w:val="11BB562D"/>
    <w:rsid w:val="12D70244"/>
    <w:rsid w:val="12EA7F78"/>
    <w:rsid w:val="13010F42"/>
    <w:rsid w:val="13086650"/>
    <w:rsid w:val="1543632C"/>
    <w:rsid w:val="158521DA"/>
    <w:rsid w:val="158F4E06"/>
    <w:rsid w:val="16445BF1"/>
    <w:rsid w:val="16710EBD"/>
    <w:rsid w:val="16975AF5"/>
    <w:rsid w:val="16CA721C"/>
    <w:rsid w:val="1706734A"/>
    <w:rsid w:val="1711641B"/>
    <w:rsid w:val="171657DF"/>
    <w:rsid w:val="17323584"/>
    <w:rsid w:val="17CA0378"/>
    <w:rsid w:val="18406A73"/>
    <w:rsid w:val="18C15C1F"/>
    <w:rsid w:val="18FB5F94"/>
    <w:rsid w:val="194523AC"/>
    <w:rsid w:val="19687E48"/>
    <w:rsid w:val="1A450189"/>
    <w:rsid w:val="1A8011C2"/>
    <w:rsid w:val="1A95067B"/>
    <w:rsid w:val="1B067919"/>
    <w:rsid w:val="1BC42663"/>
    <w:rsid w:val="1CBA09BB"/>
    <w:rsid w:val="1DCD2970"/>
    <w:rsid w:val="1DD106B2"/>
    <w:rsid w:val="1DFC3255"/>
    <w:rsid w:val="1E05035C"/>
    <w:rsid w:val="1E537319"/>
    <w:rsid w:val="1EFC175F"/>
    <w:rsid w:val="1F070103"/>
    <w:rsid w:val="1F1B770B"/>
    <w:rsid w:val="1F971487"/>
    <w:rsid w:val="1FD47FE6"/>
    <w:rsid w:val="21A41C3A"/>
    <w:rsid w:val="21EB1616"/>
    <w:rsid w:val="21FA7AAB"/>
    <w:rsid w:val="22364F87"/>
    <w:rsid w:val="228850B7"/>
    <w:rsid w:val="22A719E1"/>
    <w:rsid w:val="23700025"/>
    <w:rsid w:val="253A4D8F"/>
    <w:rsid w:val="25495A04"/>
    <w:rsid w:val="256C2A6E"/>
    <w:rsid w:val="258B52DD"/>
    <w:rsid w:val="26661BB3"/>
    <w:rsid w:val="26D16D39"/>
    <w:rsid w:val="27160EE4"/>
    <w:rsid w:val="282B6C11"/>
    <w:rsid w:val="285E6FE6"/>
    <w:rsid w:val="28862099"/>
    <w:rsid w:val="28E374EB"/>
    <w:rsid w:val="294F4B81"/>
    <w:rsid w:val="29826D04"/>
    <w:rsid w:val="299D769A"/>
    <w:rsid w:val="29A0362E"/>
    <w:rsid w:val="29A625D1"/>
    <w:rsid w:val="29C42E79"/>
    <w:rsid w:val="2A293624"/>
    <w:rsid w:val="2AFB43D6"/>
    <w:rsid w:val="2BD355F5"/>
    <w:rsid w:val="2BE23739"/>
    <w:rsid w:val="2BF51A0F"/>
    <w:rsid w:val="2C3170D7"/>
    <w:rsid w:val="2C8D60A4"/>
    <w:rsid w:val="2D4F6EFD"/>
    <w:rsid w:val="2D793060"/>
    <w:rsid w:val="2DD815E9"/>
    <w:rsid w:val="2E92252E"/>
    <w:rsid w:val="2F015C6E"/>
    <w:rsid w:val="2F01691D"/>
    <w:rsid w:val="2F5E5B1E"/>
    <w:rsid w:val="2F963509"/>
    <w:rsid w:val="305B02AF"/>
    <w:rsid w:val="30C9346B"/>
    <w:rsid w:val="31091AB9"/>
    <w:rsid w:val="31F42769"/>
    <w:rsid w:val="322272D6"/>
    <w:rsid w:val="32C65EB4"/>
    <w:rsid w:val="32DC6EF6"/>
    <w:rsid w:val="333D5A4A"/>
    <w:rsid w:val="33802506"/>
    <w:rsid w:val="339733AC"/>
    <w:rsid w:val="34DF500B"/>
    <w:rsid w:val="353C6584"/>
    <w:rsid w:val="35F920FC"/>
    <w:rsid w:val="360F36CE"/>
    <w:rsid w:val="362D624A"/>
    <w:rsid w:val="36590DED"/>
    <w:rsid w:val="36E20DE2"/>
    <w:rsid w:val="37092813"/>
    <w:rsid w:val="38415FDC"/>
    <w:rsid w:val="38A345A1"/>
    <w:rsid w:val="3971469F"/>
    <w:rsid w:val="39D37108"/>
    <w:rsid w:val="3A0472C2"/>
    <w:rsid w:val="3A773F37"/>
    <w:rsid w:val="3B62331E"/>
    <w:rsid w:val="3BD01B51"/>
    <w:rsid w:val="3C94492D"/>
    <w:rsid w:val="3CF655E7"/>
    <w:rsid w:val="3DD516A1"/>
    <w:rsid w:val="3DEF3806"/>
    <w:rsid w:val="3E6622F9"/>
    <w:rsid w:val="3E8D1F7B"/>
    <w:rsid w:val="3EE14075"/>
    <w:rsid w:val="3EEC6CA2"/>
    <w:rsid w:val="3F057D64"/>
    <w:rsid w:val="3F8073EA"/>
    <w:rsid w:val="403611AC"/>
    <w:rsid w:val="40FE0F0E"/>
    <w:rsid w:val="42021EDE"/>
    <w:rsid w:val="42134546"/>
    <w:rsid w:val="421F113C"/>
    <w:rsid w:val="42254279"/>
    <w:rsid w:val="422B5D33"/>
    <w:rsid w:val="42537038"/>
    <w:rsid w:val="429F227D"/>
    <w:rsid w:val="42EA174A"/>
    <w:rsid w:val="43A044FF"/>
    <w:rsid w:val="43C04259"/>
    <w:rsid w:val="448B2AB9"/>
    <w:rsid w:val="44F214EB"/>
    <w:rsid w:val="45684415"/>
    <w:rsid w:val="45D73ADC"/>
    <w:rsid w:val="45E71F71"/>
    <w:rsid w:val="46B81B60"/>
    <w:rsid w:val="47046B53"/>
    <w:rsid w:val="4746716B"/>
    <w:rsid w:val="47AA0C6D"/>
    <w:rsid w:val="47F366F7"/>
    <w:rsid w:val="482F19AD"/>
    <w:rsid w:val="48AA101E"/>
    <w:rsid w:val="49557B3A"/>
    <w:rsid w:val="4A282B58"/>
    <w:rsid w:val="4A6B22B2"/>
    <w:rsid w:val="4A8A3813"/>
    <w:rsid w:val="4ABB577A"/>
    <w:rsid w:val="4AC959D0"/>
    <w:rsid w:val="4B5E0F27"/>
    <w:rsid w:val="4BE13907"/>
    <w:rsid w:val="4BF20AB3"/>
    <w:rsid w:val="4C1C66ED"/>
    <w:rsid w:val="4C4579F1"/>
    <w:rsid w:val="4C8D3147"/>
    <w:rsid w:val="4DC62DB4"/>
    <w:rsid w:val="4EF851EF"/>
    <w:rsid w:val="4F2A189B"/>
    <w:rsid w:val="4F3E697A"/>
    <w:rsid w:val="4FDB1E13"/>
    <w:rsid w:val="4FFF25AD"/>
    <w:rsid w:val="521F0CE5"/>
    <w:rsid w:val="52291B63"/>
    <w:rsid w:val="528943B0"/>
    <w:rsid w:val="53933738"/>
    <w:rsid w:val="53EC109A"/>
    <w:rsid w:val="53F65229"/>
    <w:rsid w:val="54A379AB"/>
    <w:rsid w:val="557D34DC"/>
    <w:rsid w:val="55BA31FE"/>
    <w:rsid w:val="567A72D5"/>
    <w:rsid w:val="571E3D72"/>
    <w:rsid w:val="57F329F7"/>
    <w:rsid w:val="5842572D"/>
    <w:rsid w:val="59030A18"/>
    <w:rsid w:val="591F15CA"/>
    <w:rsid w:val="593B714F"/>
    <w:rsid w:val="597B0EF6"/>
    <w:rsid w:val="59EE16C8"/>
    <w:rsid w:val="5AD84127"/>
    <w:rsid w:val="5AD92379"/>
    <w:rsid w:val="5B3550D5"/>
    <w:rsid w:val="5BEC23CB"/>
    <w:rsid w:val="5C05424F"/>
    <w:rsid w:val="5C3F2626"/>
    <w:rsid w:val="5CA442C0"/>
    <w:rsid w:val="5CEE5E83"/>
    <w:rsid w:val="5D3513BC"/>
    <w:rsid w:val="5D65398D"/>
    <w:rsid w:val="5DE54B90"/>
    <w:rsid w:val="5EF961CD"/>
    <w:rsid w:val="5F4B4EC7"/>
    <w:rsid w:val="5FD77BF1"/>
    <w:rsid w:val="5FEE5355"/>
    <w:rsid w:val="60FF41BB"/>
    <w:rsid w:val="619C5EAE"/>
    <w:rsid w:val="62D6719E"/>
    <w:rsid w:val="631321A0"/>
    <w:rsid w:val="63155F18"/>
    <w:rsid w:val="63253C81"/>
    <w:rsid w:val="637D2331"/>
    <w:rsid w:val="637F5A87"/>
    <w:rsid w:val="64243F39"/>
    <w:rsid w:val="64281C7B"/>
    <w:rsid w:val="648C220A"/>
    <w:rsid w:val="64C80D68"/>
    <w:rsid w:val="65332685"/>
    <w:rsid w:val="65384140"/>
    <w:rsid w:val="654A5952"/>
    <w:rsid w:val="65905D2A"/>
    <w:rsid w:val="65F26CA4"/>
    <w:rsid w:val="660A5ADC"/>
    <w:rsid w:val="66644AC0"/>
    <w:rsid w:val="66AD6467"/>
    <w:rsid w:val="66E410C4"/>
    <w:rsid w:val="674E19F8"/>
    <w:rsid w:val="69DA7573"/>
    <w:rsid w:val="6A0665BA"/>
    <w:rsid w:val="6A3D3FA6"/>
    <w:rsid w:val="6A4250A0"/>
    <w:rsid w:val="6A5C442C"/>
    <w:rsid w:val="6AB9187F"/>
    <w:rsid w:val="6AE34B4E"/>
    <w:rsid w:val="6B013699"/>
    <w:rsid w:val="6B3B2294"/>
    <w:rsid w:val="6BE91CF0"/>
    <w:rsid w:val="6C4E5FF7"/>
    <w:rsid w:val="6C8C6B1F"/>
    <w:rsid w:val="6DFFD528"/>
    <w:rsid w:val="6E153270"/>
    <w:rsid w:val="6E3D6323"/>
    <w:rsid w:val="6E49630A"/>
    <w:rsid w:val="6EC3758C"/>
    <w:rsid w:val="70910BA8"/>
    <w:rsid w:val="709A7A5C"/>
    <w:rsid w:val="70BA1EAD"/>
    <w:rsid w:val="71F36F0B"/>
    <w:rsid w:val="72FF004B"/>
    <w:rsid w:val="73117D7E"/>
    <w:rsid w:val="7363682B"/>
    <w:rsid w:val="73B21561"/>
    <w:rsid w:val="7553467E"/>
    <w:rsid w:val="75ED37DD"/>
    <w:rsid w:val="7634625D"/>
    <w:rsid w:val="76E23F0B"/>
    <w:rsid w:val="76FB6D7B"/>
    <w:rsid w:val="771A0A72"/>
    <w:rsid w:val="777D3C34"/>
    <w:rsid w:val="797D25FA"/>
    <w:rsid w:val="79915775"/>
    <w:rsid w:val="7B120A1C"/>
    <w:rsid w:val="7B1228E5"/>
    <w:rsid w:val="7B7F441F"/>
    <w:rsid w:val="7C507B69"/>
    <w:rsid w:val="7D7F6A8A"/>
    <w:rsid w:val="7D8B70AB"/>
    <w:rsid w:val="7E0155BF"/>
    <w:rsid w:val="7F985AAF"/>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6760</Words>
  <Characters>7568</Characters>
  <Lines>48</Lines>
  <Paragraphs>13</Paragraphs>
  <TotalTime>8</TotalTime>
  <ScaleCrop>false</ScaleCrop>
  <LinksUpToDate>false</LinksUpToDate>
  <CharactersWithSpaces>8252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朗坤余巍工作手机</cp:lastModifiedBy>
  <cp:lastPrinted>2020-09-18T22:29:00Z</cp:lastPrinted>
  <dcterms:modified xsi:type="dcterms:W3CDTF">2026-05-16T02:31:46Z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D3745B240752468198C0D5383B4EF188_12</vt:lpwstr>
  </property>
  <property fmtid="{D5CDD505-2E9C-101B-9397-08002B2CF9AE}" pid="4" name="KSOTemplateDocerSaveRecord">
    <vt:lpwstr>eyJoZGlkIjoiODRhMWQ5MzAyYjI3NTk2OGYzZDcwYzE1MDJmMjhlYTciLCJ1c2VySWQiOiIxNzk5NDAyMDgyIn0=</vt:lpwstr>
  </property>
</Properties>
</file>